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Rénovations avec la nature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 xml:space="preserve">Une rénovation de façade avec </w:t>
      </w:r>
      <w:hyperlink r:id="rId4" w:history="1">
        <w:r>
          <w:rPr>
            <w:b/>
            <w:bCs/>
            <w:color w:val="0000EE"/>
            <w:u w:val="single" w:color="0000EE"/>
          </w:rPr>
          <w:t>ClimateCoating</w:t>
        </w:r>
        <w:r>
          <w:rPr>
            <w:b/>
            <w:bCs/>
            <w:color w:val="0000EE"/>
            <w:sz w:val="30"/>
            <w:szCs w:val="30"/>
            <w:u w:val="single" w:color="0000EE"/>
            <w:vertAlign w:val="superscript"/>
          </w:rPr>
          <w:t>®</w:t>
        </w:r>
        <w:r>
          <w:rPr>
            <w:b/>
            <w:bCs/>
            <w:color w:val="0000EE"/>
            <w:u w:val="single" w:color="0000EE"/>
          </w:rPr>
          <w:t xml:space="preserve"> Nature</w:t>
        </w:r>
      </w:hyperlink>
      <w:r>
        <w:rPr>
          <w:b/>
          <w:bCs/>
        </w:rPr>
        <w:t>.</w:t>
      </w:r>
      <w:r>
        <w:t xml:space="preserve"> Ce rapport pratique vient de Hollande, mais en Suède, pays bien connu pour ses maisons en bois,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est utilisé avec succès et avantageusement depuis des années. L'objectif premier est de protéger durablement les façades en bois, tout en réalisant des économies d'énergie. En ce qui concerne la protection à long terme, Nature a une longueur d'avance sur de nombreuses teintures, vernis et glaçures, comme le montrent des comparaisons pratiques. L'application de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par exemple sur une maison en bois, n'est pas différente de celle des peintures de façade. Le support doit être sec, propre, porteur et exempt de graisse, d'huile et de cire. Moyens porteurs : absence de résidus de peinture ou d'écailles détachées. En outre, le support doit être respirant, c'est-à-dire ouvert à la diffusion, afin que le mur puisse "expirer" la vapeur d'eau. Le reportage photo d'Akersloot (NL) de 2015 montre comment une maison en bois peinte avec une lasure reçoit une couche de rénovation après trois ans.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30185,27927,30187,30189,30191,30193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nature/" TargetMode="Externa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Rénovations avec la nature</dc:title>
  <cp:revision>0</cp:revision>
</cp:coreProperties>
</file>