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La nature pour les moulins à vent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Une rénovation de façade avec </w:t>
      </w:r>
      <w:hyperlink r:id="rId4" w:history="1">
        <w:r>
          <w:rPr>
            <w:b/>
            <w:bCs/>
            <w:color w:val="0000EE"/>
            <w:u w:val="single" w:color="0000EE"/>
          </w:rPr>
          <w:t>ClimateCoating</w:t>
        </w:r>
        <w:r>
          <w:rPr>
            <w:b/>
            <w:bCs/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b/>
            <w:bCs/>
            <w:color w:val="0000EE"/>
            <w:u w:val="single" w:color="0000EE"/>
          </w:rPr>
          <w:t xml:space="preserve"> Nature</w:t>
        </w:r>
      </w:hyperlink>
      <w:r>
        <w:rPr>
          <w:b/>
          <w:bCs/>
        </w:rPr>
        <w:t>.</w:t>
      </w:r>
      <w:r>
        <w:t xml:space="preserve"> La Hollande - c'est les canaux d'Amsterdam, le fromage, les bicyclettes. Et des moulins à vent. La Hollande et ses moulins à vent sont inséparables, ils sont l'un des symboles les plus connus des Pays-Bas. Les moulins à vent hollandais sont apparus à la fin du XVIe siècle, et on en comptait 10 000 à la fin du XIXe siècle. La population n'étant plus que de 1 000 habitants environ, il est important de préserver et d'entretenir les moulins à vent existants.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Nature</w:t>
        </w:r>
      </w:hyperlink>
      <w:r>
        <w:t xml:space="preserve"> y contribue largement. Les bonnes expériences avec les maisons Black ClimateCoating</w:t>
      </w:r>
      <w:r>
        <w:rPr>
          <w:sz w:val="30"/>
          <w:szCs w:val="30"/>
          <w:vertAlign w:val="superscript"/>
        </w:rPr>
        <w:t>®</w:t>
      </w:r>
      <w:r>
        <w:t xml:space="preserve"> ont servi de base à cette décision.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27929,31033,31035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fr/produits/nature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nature pour les moulins à vent</dc:title>
  <cp:revision>0</cp:revision>
</cp:coreProperties>
</file>