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Immeubles à appartements à Perleberg</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Des études scientifiques de 2001 et 2006 prouvent l'efficacité énergétique de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et constituent la base des valeurs de calcul de ClimateCoating</w:t>
      </w:r>
      <w:r>
        <w:rPr>
          <w:b/>
          <w:bCs/>
          <w:sz w:val="30"/>
          <w:szCs w:val="30"/>
          <w:vertAlign w:val="superscript"/>
        </w:rPr>
        <w:t>®</w:t>
      </w:r>
      <w:r>
        <w:rPr>
          <w:b/>
          <w:bCs/>
        </w:rPr>
        <w:t>.</w:t>
      </w:r>
      <w:r>
        <w:t xml:space="preserve"> Les deux immeubles de Karstädt et Perleberg ont fait l'objet d'un rapport dans le livre spécialisé "Die neue Energieeinsparverordnung unter Berücksichti- gung der Bestandsimmobilie" publié par Hammonia Verlag en 2002. Il a été constaté que le revêtement fonctionne dans la pratique. En outre, 2 exemples pratiques avec des faits et des chiffres sont présentés. L'auteur rend compte de ses propres recherches sur des immeubles d'appartements à Perleberg (Brandebourg) revêtus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qui prouvent une réduction de la demande d'énergie de chauffage de 20%. Un communiqué de presse d'avril 2004 indiquait : </w:t>
      </w:r>
      <w:r>
        <w:rPr>
          <w:i/>
          <w:iCs/>
        </w:rPr>
        <w:t>" Wolfgang Gelleszun, membre du conseil d'administration de la coopérative d'habitation de Perleberg, résume l'expérience vécue jusqu'à présent : " Nos locataires ont pu réaliser d'importantes économies sur les coûts de chauffage. En outre, nous n'avons pratiquement aucun problème de moisissure, car l'humidité des pièces est transportée de l'intérieur vers l'extérieur. Comme le revêtement protège la façade de la saleté et des influences environnementales, les maisons ont toujours l'air d'avoir été fraîchement rénovées après cinq ans. En bref, le ClimateCoating</w:t>
      </w:r>
      <w:r>
        <w:rPr>
          <w:i/>
          <w:iCs/>
          <w:sz w:val="30"/>
          <w:szCs w:val="30"/>
          <w:vertAlign w:val="superscript"/>
        </w:rPr>
        <w:t>®</w:t>
      </w:r>
      <w:r>
        <w:rPr>
          <w:i/>
          <w:iCs/>
        </w:rPr>
        <w:t xml:space="preserve"> tient ses promesses.""</w:t>
      </w:r>
      <w:r>
        <w:t xml:space="preserve"> Depuis 1998, l'entreprise de peinture Krause de Brême recouvre les immeubles d'habitation de la coopérative de logement Perleberg avec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En mai 2008, il y avait déjà plus de 25 immeubles d'appartements. Le maître peintre Hans-Joachim Krause a déjà souligné un autre avantage : </w:t>
      </w:r>
      <w:r>
        <w:rPr>
          <w:i/>
          <w:iCs/>
        </w:rPr>
        <w:t>"Une rénovation classique d'un immeuble d'habitation prend environ six mois. Pour une rénovation avec ClimateCoating</w:t>
      </w:r>
      <w:r>
        <w:rPr>
          <w:i/>
          <w:iCs/>
          <w:sz w:val="30"/>
          <w:szCs w:val="30"/>
          <w:vertAlign w:val="superscript"/>
        </w:rPr>
        <w:t>®</w:t>
      </w:r>
      <w:r>
        <w:rPr>
          <w:i/>
          <w:iCs/>
        </w:rPr>
        <w:t>, il ne faut que six semaines, et le coût est à peine inférieur à la moitié."</w:t>
      </w:r>
      <w:r>
        <w:t xml:space="preserve"> En novembre 2009, des représentants de la société suédoise ThermoGaia SA ont rendu visite à WBG Perleberg pour obtenir un rapport de première main sur les résultats des revêtements de façade avec ClimateCoating</w:t>
      </w:r>
      <w:r>
        <w:rPr>
          <w:sz w:val="30"/>
          <w:szCs w:val="30"/>
          <w:vertAlign w:val="superscript"/>
        </w:rPr>
        <w:t>®</w:t>
      </w:r>
      <w:r>
        <w:t>. À cette époque, la WBG avait déjà fait revêtir 28 immeubles d'habitation (soit un total d'environ 1 100 unités) avec ClimateCoating</w:t>
      </w:r>
      <w:r>
        <w:rPr>
          <w:sz w:val="30"/>
          <w:szCs w:val="30"/>
          <w:vertAlign w:val="superscript"/>
        </w:rPr>
        <w:t>®</w:t>
      </w:r>
      <w:r>
        <w:t xml:space="preserve">, c'est-à-dire entre 1998 et 2009. Les économies d'énergie ont été de 14 à 24 %, ce qui correspond à une réduction des pertes de chaleur par les murs extérieurs de l'ordre de 30 à 40 %. À cette fin, la consommation a été enregistrée en continu pour être comparée aux données de référence de la période 2000 à 2006. Les évaluations des immeubles résidentiels de WBG Perleberg ont fourni à la fois les preuves de l'efficacité énergétique du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et la base empirique des valeurs calculées du ClimateCoating</w:t>
      </w:r>
      <w:r>
        <w:rPr>
          <w:sz w:val="30"/>
          <w:szCs w:val="30"/>
          <w:vertAlign w:val="superscript"/>
        </w:rPr>
        <w:t>®</w:t>
      </w:r>
      <w:r>
        <w:t>. Perleberg est le chef-lieu du district de Prignitz, dans le nord-est du Brandebourg. Avec environ 12 000 habitants, c'est la deuxième plus grande ville du district après Wittenberge. L'expertise du 06.08.2001, préparée sous la direction du Prof. Dr.-Ing. M. Sohn, FHTW Berlin, a été commandée par la coopérative d'habitation Perleberg, qui avait fourni de nombreuses données à cet effet. La SICC GmbH a été fondée en 2003. Le contexte de l'avis d'expert était le souhait du GBM d'une validation scientifique des résultats. L'association de logement était intéressée par l'étude parce qu'elle avait utilisé ClimateCoating</w:t>
      </w:r>
      <w:r>
        <w:rPr>
          <w:sz w:val="30"/>
          <w:szCs w:val="30"/>
          <w:vertAlign w:val="superscript"/>
        </w:rPr>
        <w:t>®</w:t>
      </w:r>
      <w:r>
        <w:t xml:space="preserve"> pour le revêtement des murs extérieurs de plusieurs immeubles d'habitation et voulait être sûre qu'un effet d'économie d'énergie existait réellement. Grâce au traitement, les doutes ont pu être dissipés. Au total, cinq propriétés ont été incluses dans les enquêtes, deux propriétés sur le site de Perleberg et trois propriétés sur le site de Karstädt. Dans les cinq propriétés, l'effet d'économie d'énergie de ClimateCoating</w:t>
      </w:r>
      <w:r>
        <w:rPr>
          <w:sz w:val="30"/>
          <w:szCs w:val="30"/>
          <w:vertAlign w:val="superscript"/>
        </w:rPr>
        <w:t>®</w:t>
      </w:r>
      <w:r>
        <w:t xml:space="preserve"> était déjà visible sur la base des valeurs de consommation mesurées. Dans le cas de cinq grands objets, la sécurité statique est suffisante pour confirmer clairement l'influence du revêtement ClimateCoating</w:t>
      </w:r>
      <w:r>
        <w:rPr>
          <w:sz w:val="30"/>
          <w:szCs w:val="30"/>
          <w:vertAlign w:val="superscript"/>
        </w:rPr>
        <w:t>®</w:t>
      </w:r>
      <w:r>
        <w:t>. Une nouvelle analyse de la consommation d'énergie a été réalisée par le professeur Sohn en 2006. Il s'agit par exemple de l'immeuble d'habitation situé dans la Dobberziner Str. 22-27, un bâtiment de 5 étages construit en 1977, de 86,60 m de long et de 10,15 m de large. 3 602 m² de surface habitable sont répartis entre 60 appartements. Dans la méthode de construction dite des blocs de 1,1 Mp, les éléments des murs longitudinaux extérieurs ont été produits en une seule couche de béton de granulats légers ou de béton cellulaire, dans une épaisseur de mur de 30 cm à l'usine de Parchim depuis 1977. Cette étude a été commandée par SICC GmbH. L'objectif n'était pas tant de prouver l'effet du ClimateCoating</w:t>
      </w:r>
      <w:r>
        <w:rPr>
          <w:sz w:val="30"/>
          <w:szCs w:val="30"/>
          <w:vertAlign w:val="superscript"/>
        </w:rPr>
        <w:t>®</w:t>
      </w:r>
      <w:r>
        <w:t>, mais plutôt de faire une première tentative pour inclure l'effet du ClimateCoating</w:t>
      </w:r>
      <w:r>
        <w:rPr>
          <w:sz w:val="30"/>
          <w:szCs w:val="30"/>
          <w:vertAlign w:val="superscript"/>
        </w:rPr>
        <w:t>®</w:t>
      </w:r>
      <w:r>
        <w:t xml:space="preserve"> dans les calculs du bilan énergétique des bâtiments sur la base des procédures selon la norme DIN 4108 partie 6 et de réaliser un bilan selon les normes DIN EN 832 et DIN 4108 partie 6 qui soit spécifique au bâtiment et au lieu. En plus de l'extension de la période d'évaluation de la période initiale de 1994 à 2000 par la période de 2001 à 2006. Outre la confirmation répétée de l'effet d'économie d'énergie du ClimateCoating</w:t>
      </w:r>
      <w:r>
        <w:rPr>
          <w:sz w:val="30"/>
          <w:szCs w:val="30"/>
          <w:vertAlign w:val="superscript"/>
        </w:rPr>
        <w:t>®</w:t>
      </w:r>
      <w:r>
        <w:t>, un résultat important a été que "l'application des facteurs ClimateCoating</w:t>
      </w:r>
      <w:r>
        <w:rPr>
          <w:sz w:val="30"/>
          <w:szCs w:val="30"/>
          <w:vertAlign w:val="superscript"/>
        </w:rPr>
        <w:t>®</w:t>
      </w:r>
      <w:r>
        <w:t xml:space="preserve"> dans le contexte de l'équilibrage de la demande d'énergie pour les bâtiments résidentiels (...) a montré de très bons accords entre les valeurs calculées de la demande d'énergie finale et les valeurs de facturation de la consommation d'énergie".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27785,31021,31023,31025,31027,31029,31031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Immeubles à appartements à Perleberg</dc:title>
  <cp:revision>0</cp:revision>
</cp:coreProperties>
</file>