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Garages à Forst après 7 ans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Les surfaces d'essai sur les murs du garage à l'extérieur montrent un grand avantage qualitatif de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ThermoProtect</w:t>
        </w:r>
      </w:hyperlink>
      <w:r>
        <w:t xml:space="preserve"> Les surfaces des murs (côté ouest) entre les portes de garage ont été peintes il y a environ 7 à 8 ans. Les deux surfaces murales de gauche sont revêtues de ClimateCoating</w:t>
      </w:r>
      <w:r>
        <w:rPr>
          <w:sz w:val="30"/>
          <w:szCs w:val="30"/>
          <w:vertAlign w:val="superscript"/>
        </w:rPr>
        <w:t>®</w:t>
      </w:r>
      <w:r>
        <w:t xml:space="preserve"> Exterior, toutes les autres étant revêtues d'une peinture blanche extérieure normale. Les moisissures, les algues et les champignons sont visibles, alors que sur les murs revêtus de ClimateCoating</w:t>
      </w:r>
      <w:r>
        <w:rPr>
          <w:sz w:val="30"/>
          <w:szCs w:val="30"/>
          <w:vertAlign w:val="superscript"/>
        </w:rPr>
        <w:t>®</w:t>
      </w:r>
      <w:r>
        <w:t xml:space="preserve">, la surface est encore sans reproche.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27915,30141,30143,30145,30147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fr/produit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Garages à Forst après 7 ans</dc:title>
  <cp:revision>0</cp:revision>
</cp:coreProperties>
</file>