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Immeubles à appartements à Botkyrka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Une application frappante des valeurs de calcul de ClimateCoating</w:t>
      </w:r>
      <w:r>
        <w:rPr>
          <w:b/>
          <w:bCs/>
          <w:sz w:val="30"/>
          <w:szCs w:val="30"/>
          <w:vertAlign w:val="superscript"/>
        </w:rPr>
        <w:t>®</w:t>
      </w:r>
      <w:r>
        <w:rPr>
          <w:b/>
          <w:bCs/>
        </w:rPr>
        <w:t xml:space="preserve">. 12% d'économies d'énergie grâce à la rénovation de la façade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t xml:space="preserve"> Les immeubles Botkyrka étaient deux grands immeubles d'habitation portant les adresses </w:t>
      </w:r>
      <w:hyperlink r:id="rId5" w:tgtFrame="_blank" w:history="1">
        <w:r>
          <w:rPr>
            <w:color w:val="0000EE"/>
            <w:u w:val="single" w:color="0000EE"/>
          </w:rPr>
          <w:t>Branta Backen 7-15 et 17-29 à Tumba, dans la municipalité de Botkyrka, près de Stockholm, en Suède</w:t>
        </w:r>
      </w:hyperlink>
      <w:r>
        <w:t>. Botkyrka est une commune de la province suédoise de Stockholms län et de la province historique de Södermanland. La ville principale de la commune est Tumba. En 2009, les préparatifs de la rénovation de la façade étaient en cours. Cela comprenait des inspections, des consultations et une projection du potentiel d'économie d'énergie attendu. En utilisant les valeurs de calcul de ClimateCoating</w:t>
      </w:r>
      <w:r>
        <w:rPr>
          <w:sz w:val="30"/>
          <w:szCs w:val="30"/>
          <w:vertAlign w:val="superscript"/>
        </w:rPr>
        <w:t>®</w:t>
      </w:r>
      <w:r>
        <w:t xml:space="preserve">, le bureau d'études berlinois DIMaGB a déterminé un ΔUäqu de 19%, ce qui conduit à un potentiel d'économie ΔQ = 12% en tenant compte de la géométrie du bâtiment. À la suite d'une analyse de rentabilité, la société de logement a décidé de rénover la façade avec un revêtement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En février 2014, ÅF-Infrastructure AB, une société internationale suédoise d'ingénierie et de conseil, a procédé à une évaluation de la surveillance. </w:t>
      </w:r>
      <w:r>
        <w:rPr>
          <w:i/>
          <w:iCs/>
        </w:rPr>
        <w:t>"Pour la Branta Jaws 7-15, la diminution [des Energieverbrauchs] correspond à 11,0 % et pour la Branta Jaws 17-29 à 13,2 % durant la même période."</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986"/>
        <w:gridCol w:w="6374"/>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28851,31055,31057,31059,31061,31063,31065,31067,31069,31071,31073,31075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hyperlink" Target="https://goo.gl/maps/CsjeFzJq7K62"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Immeubles à appartements à Botkyrka</dc:title>
  <cp:revision>0</cp:revision>
</cp:coreProperties>
</file>