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Façade en gravier de lavage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>Isolation thermique d'été et d'hiver</w:t>
      </w:r>
      <w:r>
        <w:t xml:space="preserve"> Cette maison est l'un des premiers bâtiments résidentiels de Rosmalen (Den Bosch, Pays-Bas). La façade massive en gravier lavé offre peu de résistance à la chaleur solaire pénétrante en été et, pendant la saison de chauffage, beaucoup de chaleur s'échappe de la maison. En novembre 2016, la façade a été peinte avec </w:t>
      </w:r>
      <w:hyperlink r:id="rId4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>. Le résultat est satisfaisant : Pendant les froides nuits d'hiver, la température ambiante ne baisse presque pas, même si le thermostat est réglé plus bas. Le matin, la température de la pièce est rapidement portée à plus de 20°C. Même si les émiriques ne sont pas plus précises ici, cet exemple montre également que ClimateCoating</w:t>
      </w:r>
      <w:r>
        <w:rPr>
          <w:sz w:val="30"/>
          <w:szCs w:val="30"/>
          <w:vertAlign w:val="superscript"/>
        </w:rPr>
        <w:t>®</w:t>
      </w:r>
      <w:r>
        <w:t xml:space="preserve"> sur la façade est capable de garder la chaleur dans la maison.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30377,30379,30381,27990,30383,30385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Façade en gravier de lavage</dc:title>
  <cp:revision>0</cp:revision>
</cp:coreProperties>
</file>