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Maisons mitoyennes aux Pays-Bas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Un peu plus de 5% d'économie d'énergie</w:t>
      </w:r>
      <w:r>
        <w:t xml:space="preserve"> En plus d'un aspect esthétique stable pendant de nombreuses années et d'une protection contre les intempéries, le revêtement ClimateCoating</w:t>
      </w:r>
      <w:r>
        <w:rPr>
          <w:sz w:val="30"/>
          <w:szCs w:val="30"/>
          <w:vertAlign w:val="superscript"/>
        </w:rPr>
        <w:t>®</w:t>
      </w:r>
      <w:r>
        <w:t xml:space="preserve"> de la façade permet également de réaliser des économies d'énergie de chauffage. Celles-ci varient en fonction du matériau du mur et du type de bâtiment. Pour ces maisons mitoyennes d'Ymere, aux Pays-Bas, elle était de plus de 5 % après le revêtement en 2011. Cela n'a rien d'exceptionnel, pourrait-on penser - dans le bâtiment comparable avec une isolation en polystyrène de 3 cm, il n'y a pas eu beaucoup plus depuis 1990. La particularité réside ici dans le rapport entre les parts de surface enveloppante du mur extérieur, le toit et les fenêtres.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28930,30989,30991,30993,30995,30997,30999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Maisons mitoyennes aux Pays-Bas</dc:title>
  <cp:revision>0</cp:revision>
</cp:coreProperties>
</file>