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ClimateCoating&lt;sup&gt;®&lt;/sup&gt; pour les maisons à colombages</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r>
        <w:t>La collection de photos sur le thème des "maisons à colombages" présente des clichés de 2012 à 2015. Le revêtement ClimateCoating</w:t>
      </w:r>
      <w:r>
        <w:rPr>
          <w:sz w:val="30"/>
          <w:szCs w:val="30"/>
          <w:vertAlign w:val="superscript"/>
        </w:rPr>
        <w:t>®</w:t>
      </w:r>
      <w:r>
        <w:t xml:space="preserve"> des maisons à colombages a été réalisé dans les combinaisons Extérieur + Nature ou Histoire + Nature, Fix Plus ou Nature Primer a été utilisé comme primaire.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pour les éléments en bois a été développé pour répondre aux exigences particulières du matériau de construction le plus ancien et le plus naturel. C'est précisément parce que le bois est si vivant qu'il réagit de manière sensible aux influences climatiques telles que l'humidité, les rayons UV, la pollution atmosphérique ainsi que les champignons, les parasites et les insectes. C'est pourquoi le bois a besoin de soins et de protection. Pour les bâtiments historiques, le produit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History</w:t>
        </w:r>
      </w:hyperlink>
      <w:r>
        <w:t xml:space="preserve"> est utilisé. Presque tous les substrats minéraux des bâtiments anciens sont contaminés par l'eau et le sel. L'histoire répond à l'exigence de protection des monuments pour un revêtement ouvert de manière optimale à la capillarité et à la diffusion, qui doit empêcher l'accumulation de sel et d'humidité et également résister à toutes les contraintes environnementales modernes. L'application combinée des produits mentionnés pour le plâtre et le bois est la conclusion logique de la performance à long terme observée sur différentes façades et dans différentes régions. L'avantage préventif pour les maisons à colombages revêtues de ClimateCoating</w:t>
      </w:r>
      <w:r>
        <w:rPr>
          <w:sz w:val="30"/>
          <w:szCs w:val="30"/>
          <w:vertAlign w:val="superscript"/>
        </w:rPr>
        <w:t>®</w:t>
      </w:r>
      <w:r>
        <w:t xml:space="preserve"> est principalement l'apaisement thermique et la protection contre les intempéries, notamment contre la pluie battante. </w:t>
      </w:r>
      <w:hyperlink r:id="rId6"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réduit fortement le gonflement et le rétrécissement du bois. À cela s'ajoutent l'excellente adhérence sur les flancs des deux produits - c'est-à-dire sur le bois et sur le plâtre - ainsi que les propriétés élastiques et de pontage des fissures de la membrane ClimateCoating</w:t>
      </w:r>
      <w:r>
        <w:rPr>
          <w:sz w:val="30"/>
          <w:szCs w:val="30"/>
          <w:vertAlign w:val="superscript"/>
        </w:rPr>
        <w:t>®</w:t>
      </w:r>
      <w:r>
        <w:t>. Cela explique la très bonne adéquation du ClimateCoating</w:t>
      </w:r>
      <w:r>
        <w:rPr>
          <w:sz w:val="30"/>
          <w:szCs w:val="30"/>
          <w:vertAlign w:val="superscript"/>
        </w:rPr>
        <w:t>®</w:t>
      </w:r>
      <w:r>
        <w:t xml:space="preserve"> aux façades à colombages.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70"/>
        <w:gridCol w:w="5990"/>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27937,27939,27940,27941,27942,27943,27944,27945,27946,27947</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https://www.climatecoating.com/fr/produits/nature/" TargetMode="External" /><Relationship Id="rId5" Type="http://schemas.openxmlformats.org/officeDocument/2006/relationships/hyperlink" Target="https://www.climatecoating.com/fr/produits/history/" TargetMode="External" /><Relationship Id="rId6" Type="http://schemas.openxmlformats.org/officeDocument/2006/relationships/hyperlink" Target="https://www.climatecoating.com/fr/produits/nature/"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ClimateCoating&lt;sup&gt;®&lt;/sup&gt; pour les maisons à colombages</dc:title>
  <cp:revision>0</cp:revision>
</cp:coreProperties>
</file>