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Église Schermerhorn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Adhésion, comportement à l'humidité</w:t>
      </w:r>
      <w:r>
        <w:t xml:space="preserve"> Après un test de 3 ans entre 2013 et 2016, mesurant l'adhérence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et l'évolution du taux d'humidité dans les murs massifs de l'église, il a été décidé de traiter l'intérieur de l'église avec ClimateCoating</w:t>
      </w:r>
      <w:r>
        <w:rPr>
          <w:sz w:val="30"/>
          <w:szCs w:val="30"/>
          <w:vertAlign w:val="superscript"/>
        </w:rPr>
        <w:t>®</w:t>
      </w:r>
      <w:r>
        <w:t xml:space="preserve">. Cette décision a été motivée par la bonne adhérence et la réduction des valeurs d'humidité dans les murs. Les problèmes de la Grande église de NL-1636 Schermerhorn étaient que de grandes parties des murs extérieurs présentaient des décolorations et que le plâtre s'effritait. La phase de test a débuté le 31 octobre 2013. L'objectif était de trouver des réponses aux questions suivantes : 1) Quelles sont les causes de ces écailles sur et dans les murs ? et 2) Comment restaurer les murs de manière économique et structurée ? Des montages d'essai ont été créés à cet effet : Zones d'échantillonnage et points de mesure. La base de la décision était claire : le revêtement sur les surfaces de l'échantillon va-t-il adhérer et l'humidité dans les murs peut-elle être réduite ? Le choix s'est porté sur le mur de l'abside, où se posaient les plus gros problèmes. Les premières mesures d'humidité effectuées en octobre 2013 ont montré : que l'humidité dans les murs extérieurs n'est pas constante ; qu'il n'y a pas de corrélation claire entre les différentes hauteurs de colonnes montantes. En novembre 2013, une analyse de la perméabilité à la vapeur du plâtre existant a été réalisée. Les parcelles d'échantillonnage ont été établies en novembre 2013, et les premières mesures ont été effectuées en février, mai, août et novembre 2014. En plus de fournir les matériaux, Coateq a également fourni un soutien technique. Les séries de mesures ont été prolongées jusqu'en 2016.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225"/>
        <w:gridCol w:w="713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30239,30241,30243,30245,30247,30249,30251,30253,30255,30257,30259,30261,28629,30263,30265,30267,30269,30271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Église Schermerhorn</dc:title>
  <cp:revision>0</cp:revision>
</cp:coreProperties>
</file>