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Maison d'habitation à Berlin après 6 ans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Les surfaces testées sur une façade isolée avec une "peinture de façade premium" et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rPr>
          <w:b/>
          <w:bCs/>
        </w:rPr>
        <w:t xml:space="preserve"> révèlent des différences de qualité importantes</w:t>
      </w:r>
      <w:r>
        <w:t xml:space="preserve"> Le 08.12.2009, un expert en bâtiment de Berlin a inspecté les façades du quartier L.str. 56 à Berlin et sur le bâtiment voisin à gauche. Il s'agissait d'une comparaison pratique des peintures de façade (vieillissement extérieur des surfaces d'essai après 6 ans sur la façade ETICS). Sur le bâtiment voisin, une couche d'essai de la meilleure peinture de façade d'un leader du marché a été appliquée sur le pignon décalé. Après 6 ans, il y a un problème qui ne peut être négligé : des fissures clairement prononcées dans le revêtement. La visibilité des fissures est possible sans outils. La peinture de façade d'un leader du marché présentée ici est une "peinture de façade à base de résine de silicone particulièrement résistante à la saleté avec une combinaison exceptionnelle de liant et de charge" avec les propriétés suivantes : "saleté réduite, capillaire-hydrophobe, minéral-mat, hautement hydrofuge". La théorie et la pratique semblent diverger quelque peu ici : avec ce motif de fissures, la peinture n'est plutôt pas hydrofuge. Cela montre clairement que la classification d'un ETICS selon la norme DIN 4108-3, tableau 3, ligne 6, dans les groupes de contraintes I à III en ce qui concerne la protection contre la pluie battante est une hypothèse théorique, bien que normalisée. La zone de comparaison au niveau du pignon de la maison n° 56 a été - également il y a 6 ans - construite par Fa. Karl de Berlin revêtu de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L'examen de la surface d'essai du ClimateCoating</w:t>
      </w:r>
      <w:r>
        <w:rPr>
          <w:sz w:val="30"/>
          <w:szCs w:val="30"/>
          <w:vertAlign w:val="superscript"/>
        </w:rPr>
        <w:t>®</w:t>
      </w:r>
      <w:r>
        <w:t xml:space="preserve"> a montré un état sans dommage à différents niveaux de zoom et même sous la loupe de la façade. Ce revêtement de façade surpasse nettement le résultat du concurrent après 6 ans.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27910,30439,30441,30443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Maison d'habitation à Berlin après 6 ans</dc:title>
  <cp:revision>0</cp:revision>
</cp:coreProperties>
</file>