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NatureGlaze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Produit de protection du bois coloré et résistant aux intempéries - vitrage</w:t>
      </w:r>
      <w:r>
        <w:rPr>
          <w:rFonts w:ascii="Times New Roman" w:eastAsia="Times New Roman" w:hAnsi="Times New Roman" w:cs="Times New Roman"/>
          <w:i w:val="0"/>
          <w:color w:val="auto"/>
        </w:rPr>
        <w:t xml:space="preserve"> NatureGlaze est un revêtement high-tech pour tous les types de vitrages à dimensions limitées, stables et durables. les éléments en bois non dimensionnellement stables dans les espaces extérieurs, par exemple les planches à rainure et languette, les colombages, les volets, les portails et les éléments en bois non dimensionnellement stables tels que les balustrades de balcon, les pergolas et les clôtures. Hautement résistant aux intempéries</w:t>
      </w:r>
    </w:p>
    <w:p>
      <w:pPr>
        <w:rPr>
          <w:b/>
          <w:bCs/>
        </w:rPr>
      </w:pPr>
      <w:r>
        <w:rPr>
          <w:b/>
          <w:bCs/>
        </w:rPr>
        <w:t>Un revêtement de haute technologie qui tient ses promesses</w:t>
      </w:r>
      <w:r>
        <w:t xml:space="preserve"> Avec ClimateCoating</w:t>
      </w:r>
      <w:r>
        <w:rPr>
          <w:sz w:val="30"/>
          <w:szCs w:val="30"/>
          <w:vertAlign w:val="superscript"/>
        </w:rPr>
        <w:t>®</w:t>
      </w:r>
      <w:r>
        <w:t xml:space="preserve"> NatureGlaze, les éléments en bois sont protégés et restent beaux pendant une période exceptionnellement longue. L'interaction de l'adhérence, de l'élasticité et de l'extrême résistance, combinée à la réduction du gonflement et du rétrécissement, retarde le processus de vieillissement du bois de manière idéale. Pas d'écaillage de la peinture, pas de décoloration. Je te le promets. </w:t>
      </w:r>
      <w:r>
        <w:rPr>
          <w:b/>
          <w:bCs/>
        </w:rPr>
        <w:t>Domaines d'application</w:t>
      </w:r>
      <w:r>
        <w:t xml:space="preserve"> NatureGlaze est conçu pour les éléments en bois à stabilité dimensionnelle limitée (planches à rainure et languette, fermes, volets et portails) et pour les éléments en bois à stabilité non dimensionnelle (parapets de balcon, bardeaux, pergolas et clôtures). Alors que la couche épaisse NatureGlaze offre un spectre de couleurs gérable, la couche opaque Nature est disponible dans de nombreuses nuances de couleurs. Le primer NaturePrimer prêt à l'emploi complète l'ensemble des produits.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NatureGlaze</dc:title>
  <cp:revision>0</cp:revision>
</cp:coreProperties>
</file>