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Lumen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Doskonałe odbicie światła</w:t>
      </w:r>
      <w:r>
        <w:rPr>
          <w:rFonts w:ascii="Times New Roman" w:eastAsia="Times New Roman" w:hAnsi="Times New Roman" w:cs="Times New Roman"/>
          <w:i w:val="0"/>
          <w:color w:val="auto"/>
        </w:rPr>
        <w:t xml:space="preserve"> Lumen to wzmacniacz światła do zastosowań wewnętrznych. Wysoce efektywna powłoka zapewnia lepszy balans jasności i silniejszy strumień światła w pomieszczeniach, nawet w ciemnych odcieniach. Wszystkie powłoki i farby ClimateCoating</w:t>
      </w:r>
      <w:r>
        <w:rPr>
          <w:rFonts w:ascii="Times New Roman" w:eastAsia="Times New Roman" w:hAnsi="Times New Roman" w:cs="Times New Roman"/>
          <w:i w:val="0"/>
          <w:color w:val="auto"/>
          <w:sz w:val="35"/>
          <w:szCs w:val="35"/>
          <w:vertAlign w:val="superscript"/>
        </w:rPr>
        <w:t>®</w:t>
      </w:r>
      <w:r>
        <w:rPr>
          <w:rFonts w:ascii="Times New Roman" w:eastAsia="Times New Roman" w:hAnsi="Times New Roman" w:cs="Times New Roman"/>
          <w:i w:val="0"/>
          <w:color w:val="auto"/>
        </w:rPr>
        <w:t xml:space="preserve"> opierają się na technologii membran refleksyjnych i mają czysto fizyczny efekt. Przyjazne dla środowiska i wysokowydajne powłoki przekonują użytkowników na całym świecie od 2003 roku swoimi szczególnymi właściwościami i wysoką ekonomicznością. </w:t>
      </w:r>
      <w:r>
        <w:rPr>
          <w:rFonts w:ascii="Times New Roman" w:eastAsia="Times New Roman" w:hAnsi="Times New Roman" w:cs="Times New Roman"/>
          <w:i/>
          <w:iCs/>
          <w:color w:val="auto"/>
        </w:rPr>
        <w:t>Broszura produktu Lumen w formie przewijanego pliku PDF</w:t>
      </w:r>
      <w:r>
        <w:rPr>
          <w:rFonts w:ascii="Times New Roman" w:eastAsia="Times New Roman" w:hAnsi="Times New Roman" w:cs="Times New Roman"/>
          <w:i w:val="0"/>
          <w:color w:val="auto"/>
        </w:rPr>
        <w:t xml:space="preserve"> </w:t>
      </w:r>
      <w:r>
        <w:rPr>
          <w:rFonts w:ascii="Times New Roman" w:eastAsia="Times New Roman" w:hAnsi="Times New Roman" w:cs="Times New Roman"/>
          <w:i w:val="0"/>
          <w:strike w:val="0"/>
          <w:color w:val="0000EE"/>
          <w:u w:val="none" w:color="0000EE"/>
        </w:rPr>
        <w:drawing>
          <wp:inline>
            <wp:extent cx="762000" cy="762000"/>
            <wp:docPr id="100001" name="" descr="Flip Lumen DE">
              <a:hlinkClick xmlns:a="http://schemas.openxmlformats.org/drawingml/2006/main" xmlns:r="http://schemas.openxmlformats.org/officeDocument/2006/relationships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b/>
          <w:bCs/>
        </w:rPr>
      </w:pPr>
      <w:r>
        <w:rPr>
          <w:b/>
          <w:bCs/>
        </w:rPr>
        <w:t>Wzmacniacz światła do wnętrz</w:t>
      </w:r>
      <w:r>
        <w:t xml:space="preserve"> Niezależne badania wykazały, że rzeczywista zmierzona wartość współczynnika odbicia rozproszonego w lumenach dla każdego klosza jest znacznie wyższa niż standardowe wartości stosowane w profesjonalnych programach do obliczania oświetlenia, takich jak Dialux. Miliony maleńkich szklano-ceramicznych pustych w środku kulek poprawiają współczynnik odbicia rozproszonego od 12% dla bieli do 420% dla czerni. Architekci i projektanci mogą teraz także bardziej kreatywnie wykorzystywać ciemne odcienie i niuanse. Lumen dosłownie dodaje światło i kolor do współczesnych wnętrz. Lumen jest rozwinięciem systemu ThermoPlus. Farba ścienna łączy w sobie maksymalną funkcjonalność, innowacyjność oraz różnorodność kolorów i znajduje zastosowanie wszędzie tam, gdzie</w:t>
      </w:r>
      <w:r>
        <w:rPr>
          <w:b/>
          <w:bCs/>
        </w:rPr>
        <w:t xml:space="preserve"> wymagana jest szczególnie dobra wydajność świetlna:</w:t>
      </w:r>
      <w:r>
        <w:t xml:space="preserve"> w biurach, szkołach, ośrodkach opieki, studiach, a także w warsztatach i muzeach. Oczywiście również w domu.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23"/>
        <w:gridCol w:w="599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total_sales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wcml_sync_hash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attr_label_translations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qode_single_product_new_meta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21831_custom_list_file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mediathek/broschueren/lumen/" TargetMode="Externa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Lumen</dc:title>
  <cp:revision>0</cp:revision>
</cp:coreProperties>
</file>