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Apteka w Witten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Ekonomiczna i energooszczędna renowacja. Zastosowanie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przy modernizacji uwolniło pieniądze na nową przybudówkę dla babci.</w:t>
      </w:r>
      <w:r>
        <w:t xml:space="preserve"> Odnowiony budynek Central Apotheke w Witten stał się klejnotem. Powłoka elewacyjna z termoceramiczną technologią membranową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zastosowana przez firmę malarską Fox &amp; Fox chroni przed letnimi upałami i utratą ciepła w zimie. </w:t>
      </w:r>
      <w:hyperlink r:id="rId4" w:history="1">
        <w:r>
          <w:rPr>
            <w:color w:val="0000EE"/>
            <w:u w:val="single" w:color="0000EE"/>
          </w:rPr>
          <w:t>Powłokę 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zastosowano również w przypadku ziół leczniczych namalowanych przez artystę z Dortmundu Denisa Klatta. Farba jest bardzo trwała i odporna na zabrudzenia. Michael Hillebrecht, kreatywny szef grupy projektowej Wellmess z Witten, opiera swoje koncepcje ściśle na kryteriach ekonomii i efektywności energetycznej. Z tego powodu zdecydował się on na zastosowanie kombinacji energooszczędnych farb, jednostki kogeneracyjnej i fotowoltaiki do wytwarzania energii elektrycznej na dachu w ramach tego projektu. Podczas częściowej przebudowy, w piwnicy powstał lokal mieszkalny. Zdjęcia przedstawiają fasadę w pierwszym roku po zakończeniu budowy. Świadectwo energetyczne wystawione przez berlińską firmę DIMaGB Energieberatung dla tego energooszczędnie odnowionego budynku pokazuje jasno, co oznacza efektywność energetyczna, nawet w zmodernizowanym starym budynku: </w:t>
      </w:r>
      <w:r>
        <w:rPr>
          <w:i/>
          <w:iCs/>
        </w:rPr>
        <w:t>"wszystko jest na zielono"</w:t>
      </w:r>
      <w:r>
        <w:t>. Efektywność kosztowa w tym projekcie oznacza: wysoką korzyść przy uzasadnionych kosztach i możliwym do zarządzania okresie zwrotu. Pieniądze zaoszczędzone na inwestycji w fasadę dzięki zastosowaniu ClimateCoating</w:t>
      </w:r>
      <w:r>
        <w:rPr>
          <w:sz w:val="30"/>
          <w:szCs w:val="30"/>
          <w:vertAlign w:val="superscript"/>
        </w:rPr>
        <w:t>®</w:t>
      </w:r>
      <w:r>
        <w:t xml:space="preserve"> zostały wykorzystane na stworzenie mieszkania. Właściciel uzyskuje dochody z tytułu czynszu i opłat za energię elektryczną.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28892,30030,30032,30034,30036,30038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w Witten</dc:title>
  <cp:revision>0</cp:revision>
</cp:coreProperties>
</file>