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Elewacje po x latach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 xml:space="preserve">2004 i 2011 pomalowane farbą </w:t>
      </w:r>
      <w:hyperlink r:id="rId4" w:history="1">
        <w:r>
          <w:rPr>
            <w:b/>
            <w:bCs/>
            <w:color w:val="0000EE"/>
            <w:u w:val="single" w:color="0000EE"/>
          </w:rPr>
          <w:t>ThermoProtect</w:t>
        </w:r>
      </w:hyperlink>
      <w:r>
        <w:rPr>
          <w:b/>
          <w:bCs/>
        </w:rPr>
        <w:t>. Koniec z pleśnią.</w:t>
      </w:r>
      <w:r>
        <w:t xml:space="preserve"> Fasada została ostatnio pomalowana powłoką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ThermoProtect</w:t>
        </w:r>
      </w:hyperlink>
      <w:r>
        <w:t xml:space="preserve"> w 2011 roku. Wcześniej wymagane było coroczne malowanie. Między innymi z powodu problemów z wilgocią i pęknięć spowodowanych ruchem ulicznym. Dodatkowo, fasada została wyposażona w system Schrijver (szczeliny wentylacyjne).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30132,28940,30134,30136,30138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pl/produkty/termoprotect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Elewacje po x latach</dc:title>
  <cp:revision>0</cp:revision>
</cp:coreProperties>
</file>