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Garaże w Forst po 7 latach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Powierzchnie testowe na ścianach garażu na zewnątrz wykazują dużą przewagę jakościową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Powierzchnie ścian (strona zachodnia) pomiędzy bramami garażowymi zostały pomalowane około 7 do 8 lat temu. Na dwóch powierzchniach ścian po lewej stronie zastosowano ClimateCoating</w:t>
      </w:r>
      <w:r>
        <w:rPr>
          <w:sz w:val="30"/>
          <w:szCs w:val="30"/>
          <w:vertAlign w:val="superscript"/>
        </w:rPr>
        <w:t>®</w:t>
      </w:r>
      <w:r>
        <w:t xml:space="preserve"> Exterior, na pozostałych zwykłą białą farbę zewnętrzną, na której widoczne są pleśń, algi i grzyby, natomiast na ścianach pokrytych ClimateCoating</w:t>
      </w:r>
      <w:r>
        <w:rPr>
          <w:sz w:val="30"/>
          <w:szCs w:val="30"/>
          <w:vertAlign w:val="superscript"/>
        </w:rPr>
        <w:t>®</w:t>
      </w:r>
      <w:r>
        <w:t xml:space="preserve"> powierzchnia jest nadal bez zarzutu.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27613,30142,30144,30146,30148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Garaże w Forst po 7 latach</dc:title>
  <cp:revision>0</cp:revision>
</cp:coreProperties>
</file>