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Renowacje z naturą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Renowacja fasady przy użyciu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Nature</w:t>
        </w:r>
      </w:hyperlink>
      <w:r>
        <w:rPr>
          <w:b/>
          <w:bCs/>
        </w:rPr>
        <w:t>.</w:t>
      </w:r>
      <w:r>
        <w:t xml:space="preserve"> Ten praktyczny raport pochodzi z Holandii, ale również w Szwecji, która jest znana ze swoich drewnianych domów,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jest od lat z powodzeniem i korzyścią stosowany. Głównym celem jest zapewnienie długotrwałej ochrony drewnianych fasad przy jednoczesnej oszczędności energii. Jeśli chodzi o długotrwałą ochronę, Nature wyprzedza wiele bejc, lakierów i glazur, jak pokazują praktyczne porównania. Aplikacja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, np. na dom drewniany, nie różni się od aplikacji farb fasadowych. Podłoże musi być suche, czyste, nośne i wolne od tłuszczu, oleju i wosku. Nośne oznacza: bez luźnych resztek farby i płatków. Ponadto podłoże musi być przewiewne, tzn. otwarte na dyfuzję, aby ściana mogła "wydychać" parę wodną. Fotorelacja z Akersloot (NL) z 2015 roku pokazuje, jak drewniany dom pomalowany bejcą po trzech latach otrzymuje warstwę renowacyjną.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30186,27928,30188,30190,30192,30194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nature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Renowacje z naturą</dc:title>
  <cp:revision>0</cp:revision>
</cp:coreProperties>
</file>