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Domy szeregowe w Holandii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Nieco ponad 5% oszczędności energii</w:t>
      </w:r>
      <w:r>
        <w:t xml:space="preserve"> Oprócz dobrego i stabilnego wyglądu przez wiele lat oraz ochrony przed warunkami atmosferycznymi, powłoka ClimateCoating</w:t>
      </w:r>
      <w:r>
        <w:rPr>
          <w:sz w:val="30"/>
          <w:szCs w:val="30"/>
          <w:vertAlign w:val="superscript"/>
        </w:rPr>
        <w:t>®</w:t>
      </w:r>
      <w:r>
        <w:t xml:space="preserve"> na fasadzie skutkuje również oszczędnością energii grzewczej. Różnią się one w zależności od materiału ściennego i rodzaju budynku. W przypadku tych domów szeregowych w Ymere, w Holandii, było to ponad 5% po pokryciu w 2011 roku. Można by pomyśleć, że to nic nadzwyczajnego - w porównywalnym budynku z 3 cm ociepleniem styropianowym od 1990 roku nie było to dużo więcej. Cechą szczególną jest tu stosunek udziałów powierzchni kopertowej ściany zewnętrznej do dachu i okien.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27823,30990,30992,30994,30996,30998,31000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Domy szeregowe w Holandii</dc:title>
  <cp:revision>0</cp:revision>
</cp:coreProperties>
</file>