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NatureGlaze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Conservación de la madera coloreada y resistente a la intemperie - Acristalamiento</w:t>
      </w:r>
      <w:r>
        <w:rPr>
          <w:rFonts w:ascii="Times New Roman" w:eastAsia="Times New Roman" w:hAnsi="Times New Roman" w:cs="Times New Roman"/>
          <w:i w:val="0"/>
          <w:color w:val="auto"/>
        </w:rPr>
        <w:t xml:space="preserve"> NatureGlaze es un revestimiento de alta tecnología para todas las dimensiones limitadas y componentes de madera no dimensionalmente estables en zonas exteriores, por ejemplo, tablas machihembradas, entramados de madera, persianas, puertas y componentes de madera no dimensionalmente estables como barandillas de balcones, pérgolas y vallas. Alta resistencia a la intemperie</w:t>
      </w:r>
    </w:p>
    <w:p>
      <w:pPr>
        <w:rPr>
          <w:b/>
          <w:bCs/>
        </w:rPr>
      </w:pPr>
      <w:r>
        <w:rPr>
          <w:b/>
          <w:bCs/>
        </w:rPr>
        <w:t>Revestimiento de alta tecnología que cumple su promesa</w:t>
      </w:r>
      <w:r>
        <w:t xml:space="preserve"> Con ClimateCoating</w:t>
      </w:r>
      <w:r>
        <w:rPr>
          <w:sz w:val="30"/>
          <w:szCs w:val="30"/>
          <w:vertAlign w:val="superscript"/>
        </w:rPr>
        <w:t>®</w:t>
      </w:r>
      <w:r>
        <w:t xml:space="preserve"> NatureGlaze, los componentes de madera están protegidos y permanecen bonitos durante un tiempo excepcionalmente largo. La interacción de adhesión, elasticidad y resistencia extrema, combinada con la reducción del hinchamiento y la contracción, retrasa el proceso de envejecimiento de la madera de forma ideal. No hay descamación de la pintura, ni decoloración. Lo prometo. </w:t>
      </w:r>
      <w:r>
        <w:rPr>
          <w:b/>
          <w:bCs/>
        </w:rPr>
        <w:t>Ámbitos de aplicación</w:t>
      </w:r>
      <w:r>
        <w:t xml:space="preserve"> NatureGlaze está diseñado para componentes de madera dimensionalmente estables (tablas machihembradas, cerchas, persianas y puertas) y para componentes de madera no dimensionalmente estables (parapetos de balcones, tejas, pérgolas y vallas). Mientras que la capa gruesa NatureGlaze ofrece una gama de colores manejable, la capa opaca Nature está disponible en muchos tonos de color. La imprimación NaturePrimer, lista para usar, completa el conjunto de productos.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NatureGlaze</dc:title>
  <cp:revision>0</cp:revision>
</cp:coreProperties>
</file>