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Cloud for .NET 21.6.0 -->
  <w:body>
    <w:p>
      <w:pPr>
        <w:pStyle w:val="Heading1"/>
        <w:keepNext w:val="0"/>
        <w:keepLines w:val="0"/>
        <w:spacing w:before="0" w:after="299"/>
        <w:rPr>
          <w:b/>
          <w:bCs/>
          <w:sz w:val="36"/>
          <w:szCs w:val="36"/>
        </w:rPr>
      </w:pPr>
      <w:r>
        <w:rPr>
          <w:rFonts w:ascii="Times New Roman" w:eastAsia="Times New Roman" w:hAnsi="Times New Roman" w:cs="Times New Roman"/>
          <w:i w:val="0"/>
          <w:color w:val="auto"/>
          <w:sz w:val="36"/>
          <w:szCs w:val="36"/>
        </w:rPr>
        <w:t>Lumen</w:t>
      </w:r>
    </w:p>
    <w:tbl>
      <w:tblPr>
        <w:tblW w:w="5000" w:type="pct"/>
        <w:tblCellSpacing w:w="15" w:type="dxa"/>
        <w:tblCellMar>
          <w:top w:w="15" w:type="dxa"/>
          <w:left w:w="15" w:type="dxa"/>
          <w:bottom w:w="15" w:type="dxa"/>
          <w:right w:w="15" w:type="dxa"/>
        </w:tblCellMar>
      </w:tblPr>
      <w:tblGrid>
        <w:gridCol w:w="3074"/>
        <w:gridCol w:w="6241"/>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Categories</w:t>
            </w:r>
          </w:p>
        </w:tc>
        <w:tc>
          <w:tcPr>
            <w:tcMar>
              <w:top w:w="15" w:type="dxa"/>
              <w:left w:w="15" w:type="dxa"/>
              <w:bottom w:w="15" w:type="dxa"/>
              <w:right w:w="15" w:type="dxa"/>
            </w:tcMar>
            <w:vAlign w:val="center"/>
            <w:hideMark/>
          </w:tcPr>
          <w:p/>
        </w:tc>
      </w:tr>
    </w:tbl>
    <w:p>
      <w:pPr>
        <w:pStyle w:val="Heading3"/>
        <w:keepNext w:val="0"/>
        <w:keepLines w:val="0"/>
        <w:spacing w:before="281" w:after="281"/>
        <w:rPr>
          <w:b/>
          <w:bCs/>
          <w:sz w:val="28"/>
          <w:szCs w:val="28"/>
        </w:rPr>
      </w:pPr>
      <w:r>
        <w:rPr>
          <w:rFonts w:ascii="Times New Roman" w:eastAsia="Times New Roman" w:hAnsi="Times New Roman" w:cs="Times New Roman"/>
          <w:i w:val="0"/>
          <w:color w:val="auto"/>
        </w:rPr>
        <w:t>Excelente reflexión de la luz</w:t>
      </w:r>
      <w:r>
        <w:rPr>
          <w:rFonts w:ascii="Times New Roman" w:eastAsia="Times New Roman" w:hAnsi="Times New Roman" w:cs="Times New Roman"/>
          <w:i w:val="0"/>
          <w:color w:val="auto"/>
        </w:rPr>
        <w:t xml:space="preserve"> Lumen es el amplificador de luz para interiores. El revestimiento altamente eficaz garantiza un mejor equilibrio de la luminosidad y una mayor potencia lumínica en las habitaciones, incluso con tonos oscuros. Todos los revestimientos y tintas ClimateCoating</w:t>
      </w:r>
      <w:r>
        <w:rPr>
          <w:rFonts w:ascii="Times New Roman" w:eastAsia="Times New Roman" w:hAnsi="Times New Roman" w:cs="Times New Roman"/>
          <w:i w:val="0"/>
          <w:color w:val="auto"/>
          <w:sz w:val="35"/>
          <w:szCs w:val="35"/>
          <w:vertAlign w:val="superscript"/>
        </w:rPr>
        <w:t>®</w:t>
      </w:r>
      <w:r>
        <w:rPr>
          <w:rFonts w:ascii="Times New Roman" w:eastAsia="Times New Roman" w:hAnsi="Times New Roman" w:cs="Times New Roman"/>
          <w:i w:val="0"/>
          <w:color w:val="auto"/>
        </w:rPr>
        <w:t xml:space="preserve"> se basan en la tecnología de membranas reflectantes y tienen un efecto puramente físico. Estos revestimientos ecológicos y de alto rendimiento llevan impresionando a los usuarios de todo el mundo desde 2003 por sus propiedades especiales y su alta rentabilidad. </w:t>
      </w:r>
      <w:r>
        <w:rPr>
          <w:rFonts w:ascii="Times New Roman" w:eastAsia="Times New Roman" w:hAnsi="Times New Roman" w:cs="Times New Roman"/>
          <w:i/>
          <w:iCs/>
          <w:color w:val="auto"/>
        </w:rPr>
        <w:t>El folleto del producto Lumen como archivo PDF desplazable</w:t>
      </w:r>
      <w:r>
        <w:rPr>
          <w:rFonts w:ascii="Times New Roman" w:eastAsia="Times New Roman" w:hAnsi="Times New Roman" w:cs="Times New Roman"/>
          <w:i w:val="0"/>
          <w:color w:val="auto"/>
        </w:rPr>
        <w:t xml:space="preserve"> </w:t>
      </w:r>
      <w:r>
        <w:rPr>
          <w:rFonts w:ascii="Times New Roman" w:eastAsia="Times New Roman" w:hAnsi="Times New Roman" w:cs="Times New Roman"/>
          <w:i w:val="0"/>
          <w:strike w:val="0"/>
          <w:color w:val="0000EE"/>
          <w:u w:val="none" w:color="0000EE"/>
        </w:rPr>
        <w:drawing>
          <wp:inline>
            <wp:extent cx="762000" cy="762000"/>
            <wp:docPr id="100001" name="" descr="Flip Lumen ES">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
                    <pic:cNvPicPr>
                      <a:picLocks noChangeAspect="1"/>
                    </pic:cNvPicPr>
                  </pic:nvPicPr>
                  <pic:blipFill>
                    <a:blip xmlns:r="http://schemas.openxmlformats.org/officeDocument/2006/relationships" r:embed="rId5"/>
                    <a:stretch>
                      <a:fillRect/>
                    </a:stretch>
                  </pic:blipFill>
                  <pic:spPr>
                    <a:xfrm>
                      <a:off x="0" y="0"/>
                      <a:ext cx="762000" cy="762000"/>
                    </a:xfrm>
                    <a:prstGeom prst="rect">
                      <a:avLst/>
                    </a:prstGeom>
                  </pic:spPr>
                </pic:pic>
              </a:graphicData>
            </a:graphic>
          </wp:inline>
        </w:drawing>
      </w:r>
    </w:p>
    <w:p>
      <w:pPr>
        <w:rPr>
          <w:b/>
          <w:bCs/>
        </w:rPr>
      </w:pPr>
      <w:r>
        <w:rPr>
          <w:b/>
          <w:bCs/>
        </w:rPr>
        <w:t>Amplificador de luz para interiores</w:t>
      </w:r>
      <w:r>
        <w:t xml:space="preserve"> Investigaciones independientes demuestran que el valor real de reflectancia difusa medido en lúmenes en cada tono es significativamente mayor que los valores estándar utilizados en los programas profesionales de cálculo de iluminación, como Dialux. Millones de diminutas esferas huecas de vitrocerámica mejoran la reflectancia difusa desde el 12% para el blanco y hasta el 420% para el negro. Ahora los arquitectos y diseñadores también pueden utilizar los tonos y matices oscuros de forma más creativa. Lumen añade literalmente luz y color a los interiores contemporáneos. Lumen es una evolución de ThermoPlus. Esta pintura mural combina la máxima funcionalidad, innovación y diversidad de colores y se utiliza en aquellos lugares donde se</w:t>
      </w:r>
      <w:r>
        <w:rPr>
          <w:b/>
          <w:bCs/>
        </w:rPr>
        <w:t xml:space="preserve"> requiere un rendimiento lumínico especialmente bueno:</w:t>
      </w:r>
      <w:r>
        <w:t xml:space="preserve"> oficinas, escuelas, centros asistenciales, estudios, así como talleres y museos. También en casa, por supuesto. </w:t>
      </w:r>
    </w:p>
    <w:p>
      <w:pPr>
        <w:pStyle w:val="Heading3"/>
        <w:keepNext w:val="0"/>
        <w:keepLines w:val="0"/>
        <w:spacing w:before="281" w:after="281"/>
        <w:rPr>
          <w:b/>
          <w:bCs/>
          <w:sz w:val="28"/>
          <w:szCs w:val="28"/>
        </w:rPr>
      </w:pPr>
      <w:r>
        <w:rPr>
          <w:rFonts w:ascii="Times New Roman" w:eastAsia="Times New Roman" w:hAnsi="Times New Roman" w:cs="Times New Roman"/>
          <w:i w:val="0"/>
          <w:color w:val="auto"/>
        </w:rPr>
        <w:t>Metadata</w:t>
      </w:r>
    </w:p>
    <w:tbl>
      <w:tblPr>
        <w:tblW w:w="5000" w:type="pct"/>
        <w:tblCellSpacing w:w="15" w:type="dxa"/>
        <w:tblCellMar>
          <w:top w:w="15" w:type="dxa"/>
          <w:left w:w="15" w:type="dxa"/>
          <w:bottom w:w="15" w:type="dxa"/>
          <w:right w:w="15" w:type="dxa"/>
        </w:tblCellMar>
      </w:tblPr>
      <w:tblGrid>
        <w:gridCol w:w="3323"/>
        <w:gridCol w:w="5992"/>
      </w:tblGrid>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total_sales</w:t>
            </w:r>
          </w:p>
        </w:tc>
        <w:tc>
          <w:tcPr>
            <w:tcMar>
              <w:top w:w="15" w:type="dxa"/>
              <w:left w:w="15" w:type="dxa"/>
              <w:bottom w:w="15" w:type="dxa"/>
              <w:right w:w="15" w:type="dxa"/>
            </w:tcMar>
            <w:vAlign w:val="center"/>
            <w:hideMark/>
          </w:tcPr>
          <w:p>
            <w:r>
              <w:t>0</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cmplz_hide_cookiebanner</w:t>
            </w:r>
          </w:p>
        </w:tc>
        <w:tc>
          <w:tcPr>
            <w:tcMar>
              <w:top w:w="15" w:type="dxa"/>
              <w:left w:w="15" w:type="dxa"/>
              <w:bottom w:w="15" w:type="dxa"/>
              <w:right w:w="15" w:type="dxa"/>
            </w:tcMar>
            <w:vAlign w:val="center"/>
            <w:hideMark/>
          </w:tcP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wcml_sync_hash</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attr_label_translations</w:t>
            </w:r>
          </w:p>
        </w:tc>
        <w:tc>
          <w:tcPr>
            <w:tcMar>
              <w:top w:w="15" w:type="dxa"/>
              <w:left w:w="15" w:type="dxa"/>
              <w:bottom w:w="15" w:type="dxa"/>
              <w:right w:w="15" w:type="dxa"/>
            </w:tcMar>
            <w:vAlign w:val="center"/>
            <w:hideMark/>
          </w:tcPr>
          <w:p>
            <w:r>
              <w:t>Array</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qode_single_product_new_meta</w:t>
            </w:r>
          </w:p>
        </w:tc>
        <w:tc>
          <w:tcPr>
            <w:tcMar>
              <w:top w:w="15" w:type="dxa"/>
              <w:left w:w="15" w:type="dxa"/>
              <w:bottom w:w="15" w:type="dxa"/>
              <w:right w:w="15" w:type="dxa"/>
            </w:tcMar>
            <w:vAlign w:val="center"/>
            <w:hideMark/>
          </w:tcPr>
          <w:p>
            <w:r>
              <w:t>no</w:t>
            </w:r>
          </w:p>
        </w:tc>
      </w:tr>
      <w:tr>
        <w:tblPrEx>
          <w:tblW w:w="5000" w:type="pct"/>
          <w:tblCellSpacing w:w="15" w:type="dxa"/>
          <w:tblCellMar>
            <w:top w:w="15" w:type="dxa"/>
            <w:left w:w="15" w:type="dxa"/>
            <w:bottom w:w="15" w:type="dxa"/>
            <w:right w:w="15" w:type="dxa"/>
          </w:tblCellMar>
        </w:tblPrEx>
        <w:trPr>
          <w:tblCellSpacing w:w="15" w:type="dxa"/>
        </w:trPr>
        <w:tc>
          <w:tcPr>
            <w:tcW w:w="1650" w:type="pct"/>
            <w:tcMar>
              <w:top w:w="15" w:type="dxa"/>
              <w:left w:w="15" w:type="dxa"/>
              <w:bottom w:w="15" w:type="dxa"/>
              <w:right w:w="15" w:type="dxa"/>
            </w:tcMar>
            <w:vAlign w:val="center"/>
            <w:hideMark/>
          </w:tcPr>
          <w:p>
            <w:r>
              <w:rPr>
                <w:b/>
                <w:bCs/>
              </w:rPr>
              <w:t>21831_custom_list_file</w:t>
            </w:r>
          </w:p>
        </w:tc>
        <w:tc>
          <w:tcPr>
            <w:tcMar>
              <w:top w:w="15" w:type="dxa"/>
              <w:left w:w="15" w:type="dxa"/>
              <w:bottom w:w="15" w:type="dxa"/>
              <w:right w:w="15" w:type="dxa"/>
            </w:tcMar>
            <w:vAlign w:val="center"/>
            <w:hideMark/>
          </w:tcPr>
          <w:p>
            <w:r>
              <w:t>Array</w:t>
            </w:r>
          </w:p>
        </w:tc>
      </w:tr>
    </w:tbl>
    <w:p>
      <w:pPr>
        <w:rPr>
          <w:rFonts w:ascii="Times New Roman" w:eastAsia="Times New Roman" w:hAnsi="Times New Roman" w:cs="Times New Roman"/>
          <w:i w:val="0"/>
          <w:color w:val="auto"/>
        </w:rPr>
      </w:pP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
    <w:qFormat/>
    <w:rsid w:val="00506D7A"/>
    <w:pPr>
      <w:keepNext/>
      <w:keepLines/>
      <w:spacing w:before="240" w:after="0"/>
      <w:outlineLvl w:val="0"/>
    </w:pPr>
    <w:rPr>
      <w:rFonts w:ascii="Times New Roman" w:eastAsia="Times New Roman" w:hAnsi="Times New Roman" w:cs="Times New Roman"/>
      <w:b/>
      <w:bCs/>
      <w:i w:val="0"/>
      <w:color w:val="2F5496" w:themeShade="BF"/>
      <w:kern w:val="36"/>
      <w:sz w:val="48"/>
      <w:szCs w:val="48"/>
    </w:rPr>
  </w:style>
  <w:style w:type="paragraph" w:styleId="Heading2">
    <w:name w:val="heading 2"/>
    <w:basedOn w:val="Normal"/>
    <w:next w:val="Normal"/>
    <w:link w:val="Heading2Char"/>
    <w:uiPriority w:val="9"/>
    <w:qFormat/>
    <w:rsid w:val="00506D7A"/>
    <w:pPr>
      <w:keepNext/>
      <w:keepLines/>
      <w:spacing w:before="40" w:after="0"/>
      <w:outlineLvl w:val="1"/>
    </w:pPr>
    <w:rPr>
      <w:rFonts w:ascii="Times New Roman" w:eastAsia="Times New Roman" w:hAnsi="Times New Roman" w:cs="Times New Roman"/>
      <w:b/>
      <w:bCs/>
      <w:i w:val="0"/>
      <w:color w:val="2F5496" w:themeShade="BF"/>
      <w:sz w:val="36"/>
      <w:szCs w:val="36"/>
    </w:rPr>
  </w:style>
  <w:style w:type="paragraph" w:styleId="Heading3">
    <w:name w:val="heading 3"/>
    <w:basedOn w:val="Normal"/>
    <w:next w:val="Normal"/>
    <w:link w:val="Heading3Char"/>
    <w:uiPriority w:val="9"/>
    <w:qFormat/>
    <w:rsid w:val="00506D7A"/>
    <w:pPr>
      <w:keepNext/>
      <w:keepLines/>
      <w:spacing w:before="40" w:after="0"/>
      <w:outlineLvl w:val="2"/>
    </w:pPr>
    <w:rPr>
      <w:rFonts w:ascii="Times New Roman" w:eastAsia="Times New Roman" w:hAnsi="Times New Roman" w:cs="Times New Roman"/>
      <w:b/>
      <w:bCs/>
      <w:i w:val="0"/>
      <w:color w:val="1F3763" w:themeShade="7F"/>
      <w:sz w:val="28"/>
      <w:szCs w:val="28"/>
    </w:rPr>
  </w:style>
  <w:style w:type="paragraph" w:styleId="Heading4">
    <w:name w:val="heading 4"/>
    <w:basedOn w:val="Normal"/>
    <w:next w:val="Normal"/>
    <w:link w:val="Heading4Char"/>
    <w:uiPriority w:val="9"/>
    <w:qFormat/>
    <w:rsid w:val="00506D7A"/>
    <w:pPr>
      <w:keepNext/>
      <w:keepLines/>
      <w:spacing w:before="40" w:after="0"/>
      <w:outlineLvl w:val="3"/>
    </w:pPr>
    <w:rPr>
      <w:rFonts w:ascii="Times New Roman" w:eastAsia="Times New Roman" w:hAnsi="Times New Roman" w:cs="Times New Roman"/>
      <w:b/>
      <w:bCs/>
      <w:i w:val="0"/>
      <w:iCs/>
      <w:color w:val="2F5496" w:themeShade="BF"/>
      <w:sz w:val="24"/>
      <w:szCs w:val="24"/>
    </w:rPr>
  </w:style>
  <w:style w:type="paragraph" w:styleId="Heading5">
    <w:name w:val="heading 5"/>
    <w:basedOn w:val="Normal"/>
    <w:next w:val="Normal"/>
    <w:link w:val="Heading5Char"/>
    <w:uiPriority w:val="9"/>
    <w:qFormat/>
    <w:rsid w:val="00506D7A"/>
    <w:pPr>
      <w:keepNext/>
      <w:keepLines/>
      <w:spacing w:before="40" w:after="0"/>
      <w:outlineLvl w:val="4"/>
    </w:pPr>
    <w:rPr>
      <w:rFonts w:ascii="Times New Roman" w:eastAsia="Times New Roman" w:hAnsi="Times New Roman" w:cs="Times New Roman"/>
      <w:b/>
      <w:bCs/>
      <w:i w:val="0"/>
      <w:color w:val="2F5496" w:themeShade="BF"/>
      <w:sz w:val="20"/>
      <w:szCs w:val="20"/>
    </w:rPr>
  </w:style>
  <w:style w:type="paragraph" w:styleId="Heading6">
    <w:name w:val="heading 6"/>
    <w:basedOn w:val="Normal"/>
    <w:next w:val="Normal"/>
    <w:link w:val="Heading6Char"/>
    <w:uiPriority w:val="9"/>
    <w:qFormat/>
    <w:rsid w:val="00506D7A"/>
    <w:pPr>
      <w:keepNext/>
      <w:keepLines/>
      <w:spacing w:before="40" w:after="0"/>
      <w:outlineLvl w:val="5"/>
    </w:pPr>
    <w:rPr>
      <w:rFonts w:ascii="Times New Roman" w:eastAsia="Times New Roman" w:hAnsi="Times New Roman" w:cs="Times New Roman"/>
      <w:b/>
      <w:bCs/>
      <w:i w:val="0"/>
      <w:color w:val="1F3763" w:themeShade="7F"/>
      <w:sz w:val="16"/>
      <w:szCs w:val="16"/>
    </w:rPr>
  </w:style>
  <w:style w:type="character" w:default="1" w:styleId="DefaultParagraphFont">
    <w:name w:val="Default Paragraph Font"/>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themeShade="BF"/>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themeShade="BF"/>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themeShade="7F"/>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themeShade="BF"/>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themeShade="BF"/>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themeShade="7F"/>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climatecoating.com/mediathek/broschueren/lumen/" TargetMode="Externa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Lumen</dc:title>
  <cp:revision>0</cp:revision>
</cp:coreProperties>
</file>