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Casa trifamiliar en Zeuthen</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La combinación de un ETICS de aislamiento de fibra de madera con ClimateCoating</w:t>
      </w:r>
      <w:r>
        <w:rPr>
          <w:b/>
          <w:bCs/>
          <w:sz w:val="30"/>
          <w:szCs w:val="30"/>
          <w:vertAlign w:val="superscript"/>
        </w:rPr>
        <w:t>®</w:t>
      </w:r>
      <w:r>
        <w:rPr>
          <w:b/>
          <w:bCs/>
        </w:rPr>
        <w:t xml:space="preserve"> creó un clima confortable y eficiente.</w:t>
      </w:r>
      <w:r>
        <w:t xml:space="preserve"> Todo comenzó con una inspección de la vivienda a mediados de febrero de 2010. En el marco de la consulta de compra de vivienda por el experto de la clínica de la casa</w:t>
      </w:r>
      <w:r>
        <w:rPr>
          <w:sz w:val="30"/>
          <w:szCs w:val="30"/>
          <w:vertAlign w:val="superscript"/>
        </w:rPr>
        <w:t>®</w:t>
      </w:r>
      <w:r>
        <w:t xml:space="preserve"> la casa (construida en 1936) fue examinada desde el sótano hasta el tejado. </w:t>
      </w:r>
      <w:r>
        <w:rPr>
          <w:i/>
          <w:iCs/>
        </w:rPr>
        <w:t>"Aquí se puede hacer algo",</w:t>
      </w:r>
      <w:r>
        <w:t xml:space="preserve"> afirmó el experto en construcción de la casa.</w:t>
      </w:r>
      <w:r>
        <w:rPr>
          <w:sz w:val="30"/>
          <w:szCs w:val="30"/>
          <w:vertAlign w:val="superscript"/>
        </w:rPr>
        <w:t>®</w:t>
      </w:r>
      <w:r>
        <w:t xml:space="preserve"> el futuro propietario en su visión de convertir la antigua casa en una vivienda trifamiliar según los estándares modernos. En marzo, el nuevo propietario y constructor encargó a DIMaGB Bauplanung los servicios de planificación para obtener la licencia de obras. Para él fue decisiva la filosofía de construcción de DIMaGB, así como los conceptos constructivos y físicos del edificio, que se basan en ella y en la experiencia de un cuarto de siglo en la construcción. El cliente siguió la recomendación de mejorar la envolvente del edificio como parte de la modernización energética, utilizando un aislamiento de fibra de madera y un revestimiento con tecnología de membrana termocerámica. La fachada se adaptó a los nuevos planos y se equipó con un ETICS de placas aislantes de fibra de madera con un revestimiento final de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El cliente eligió un tono pastel ligeramente matizado de la paleta de colores de unos 4.000 tonos, que armoniza excelentemente con los perfiles oscuros de las ventanas y las tejas grabadas del tejado. Los materiales aislantes de fibra de madera presentan ventajas decisivas frente a la lana mineral y el poliestireno: capacidad de almacenamiento y aislamiento, se fabrican a partir de materias primas renovables, su producción es de bajo consumo energético, no hay residuos peligrosos en la fachada y son totalmente absorbentes gracias a su conductividad capilar. Combinando este ETICS de fibra de madera con la tecnología de membrana termo-cerámica ClimateCoating</w:t>
      </w:r>
      <w:r>
        <w:rPr>
          <w:sz w:val="30"/>
          <w:szCs w:val="30"/>
          <w:vertAlign w:val="superscript"/>
        </w:rPr>
        <w:t>®</w:t>
      </w:r>
      <w:r>
        <w:t xml:space="preserve"> se consigue la máxima eficiencia y economía. La fachada está protegida eficazmente y durante mucho tiempo contra la lluvia torrencial, la radiación UV, el calor del verano y los ciclos de congelación y descongelación. La prevención contra el crecimiento de algas y otros microorganismos tiene lugar aquí sin fungicidas ni alguicidas. La reflexión infrarroja (IR) dentro de la membrana provoca una reducción de la radiación hacia el cielo frío y mediante un desplazamiento del punto de rocío la reducción del potencial de humedad. La combinación de la membrana ClimateCoating</w:t>
      </w:r>
      <w:r>
        <w:rPr>
          <w:sz w:val="30"/>
          <w:szCs w:val="30"/>
          <w:vertAlign w:val="superscript"/>
        </w:rPr>
        <w:t>®</w:t>
      </w:r>
      <w:r>
        <w:t xml:space="preserve"> con el sustrato con capacidad de almacenamiento y sorción tiene un efecto sobre-óptimo. El experto de Haus-Klinik® confirma: </w:t>
      </w:r>
      <w:r>
        <w:rPr>
          <w:i/>
          <w:iCs/>
        </w:rPr>
        <w:t>"Esto es actualmente (2010) el ETICS ecológico: ahorro de energía, sostenible, económico, eficiente."</w:t>
      </w:r>
      <w:r>
        <w:t xml:space="preserve"> Por cierto: la casa de tres familias era una casa de varias generaciones.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01"/>
        <w:gridCol w:w="575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26251,27300,27301,27302,27303,27304,27305,27306,27307</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s/productos/th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Casa trifamiliar en Zeuthen</dc:title>
  <cp:revision>0</cp:revision>
</cp:coreProperties>
</file>