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Lavado de la fachada de grava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Aislamiento térmico en verano e invierno</w:t>
      </w:r>
      <w:r>
        <w:t xml:space="preserve"> Esta casa es uno de los primeros edificios residenciales de Rosmalen (Den Bosch, Países Bajos). La sólida fachada con grava lavada ofrece poca resistencia al calor solar penetrante en verano y durante la temporada de calefacción se escapa mucho calor de la casa. En noviembre de 2016, la fachada se pintó con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. El resultado es satisfactorio: Durante las frías noches de invierno, la temperatura de la habitación casi no baja, incluso con el termostato regulado a la baja. Por la mañana, la temperatura ambiente se eleva rápidamente a más de 20°C. Aunque los emiratos no sean más precisos en este caso, este ejemplo también demuestra que el ClimateCoating</w:t>
      </w:r>
      <w:r>
        <w:rPr>
          <w:sz w:val="30"/>
          <w:szCs w:val="30"/>
          <w:vertAlign w:val="superscript"/>
        </w:rPr>
        <w:t>®</w:t>
      </w:r>
      <w:r>
        <w:t xml:space="preserve"> en la fachada es capaz de mantener el calor en la casa.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26988,26989,26990,26419,26991,26992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s/producto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Lavado de la fachada de grava</dc:title>
  <cp:revision>0</cp:revision>
</cp:coreProperties>
</file>