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La medición del flujo de calor a Roma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Invierno 2015/2016</w:t>
      </w:r>
      <w:r>
        <w:t xml:space="preserve"> Como es bien sabido, es una travesura deliberada volver a medir un espécimen recubierto con ClimateCoating</w:t>
      </w:r>
      <w:r>
        <w:rPr>
          <w:sz w:val="30"/>
          <w:szCs w:val="30"/>
          <w:vertAlign w:val="superscript"/>
        </w:rPr>
        <w:t>®</w:t>
      </w:r>
      <w:r>
        <w:t xml:space="preserve"> en el dispositivo de la placa caliente, ya que con este método no queda ninguna superficie - no hay superficie, no hay actividad superficial. Además, en los experimentos con cajas calientes y cámaras climáticas en el laboratorio, la experiencia ha demostrado que la miniaturización del montaje experimental no da resultados. Por ello, Italia ha optado por realizar una prueba práctica con una caja caliente muy grande. Para ello, se realizaron mediciones en el periodo comprendido entre el 11.12.2015 y el 25.01.2016 en la Via Merulana 121 de Roma. El edificio tiene paredes de bloques de toba con un grosor de 80 cm en la planta baja a 40 cm en los pisos superiores. La "caja caliente muy grande" era una habitación en la planta baja con una pared de 80 cm de grosor. El caudalímetro 435-2 de Testo se utilizó para la medición in situ de la permeabilidad al calor antes y después de la aplicación del producto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Mucho antes de la medición, se realizó un cálculo de la mejora de las propiedades de aislamiento térmico de la pared utilizando la herramienta de cálculo Calculus con los valores de cálculo de ClimateCoating</w:t>
      </w:r>
      <w:r>
        <w:rPr>
          <w:sz w:val="30"/>
          <w:szCs w:val="30"/>
          <w:vertAlign w:val="superscript"/>
        </w:rPr>
        <w:t>®</w:t>
      </w:r>
      <w:r>
        <w:t xml:space="preserve"> fTS. La prueba permitió llegar a las siguientes conclusiones: Las mediciones de flujo de calor realizadas confirmaron el cálculo de julio de 2015 con una buena aproximación a los datos. Se calculó una mejora del valor U equivalente del 33%. Se midió un cambio en la conductividad térmica de 0,71 a 0,48 W/mK. Esto corresponde al 32%.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26072,27338,27339,27340,27341,27342,27343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medición del flujo de calor a Roma</dc:title>
  <cp:revision>0</cp:revision>
</cp:coreProperties>
</file>