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Casas adosadas en los Países Bajos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Algo más del 5% de ahorro de energía</w:t>
      </w:r>
      <w:r>
        <w:t xml:space="preserve"> Además de un aspecto bueno y estable a lo largo de muchos años, así como de la protección contra las inclemencias del tiempo, un revestimiento ClimateCoating</w:t>
      </w:r>
      <w:r>
        <w:rPr>
          <w:sz w:val="30"/>
          <w:szCs w:val="30"/>
          <w:vertAlign w:val="superscript"/>
        </w:rPr>
        <w:t>®</w:t>
      </w:r>
      <w:r>
        <w:t xml:space="preserve"> de la fachada también supone un ahorro de energía en calefacción. Estos varían en función del material de la pared y del tipo de edificio. En el caso de estos chalets adosados de Ymere (Países Bajos), fue más del 5% tras el revestimiento en 2011. Podría pensarse que esto no es nada especial: en un edificio comparable con un aislamiento de poliestireno de 3 cm no ha sido mucho más desde 1990. La particularidad reside aquí en la relación de las acciones de la superficie envolvente del muro exterior con el techo y las ventanas.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26044,27294,27295,27296,27297,27298,27299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Casas adosadas en los Países Bajos</dc:title>
  <cp:revision>0</cp:revision>
</cp:coreProperties>
</file>