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Fachadas después de x años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2004 y 2011 pintados con </w:t>
      </w:r>
      <w:hyperlink r:id="rId4" w:history="1">
        <w:r>
          <w:rPr>
            <w:b/>
            <w:bCs/>
            <w:color w:val="0000EE"/>
            <w:u w:val="single" w:color="0000EE"/>
          </w:rPr>
          <w:t>ThermoProtect</w:t>
        </w:r>
      </w:hyperlink>
      <w:r>
        <w:rPr>
          <w:b/>
          <w:bCs/>
        </w:rPr>
        <w:t>. Se acabó el moho.</w:t>
      </w:r>
      <w:r>
        <w:t xml:space="preserve"> La fachada se pintó por última vez con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en 2011. Anteriormente se exigía el repintado anual. Entre otras cosas, por problemas de humedad y grietas debidas al tráfico. Además, la fachada se equipó con el sistema Schrijver (ranuras de ventilación).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26865,25965,26866,26867,26868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Fachadas después de x años</dc:title>
  <cp:revision>0</cp:revision>
</cp:coreProperties>
</file>