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Iglesia Schermerhorn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Adhesión, comportamiento ante la humedad</w:t>
      </w:r>
      <w:r>
        <w:t xml:space="preserve"> Después de una prueba de 3 años entre 2013 y 2016, en la que se midió la adherencia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y el cambio en los niveles de humedad en los sólidos muros de la iglesia, se decidió tratar el interior de la iglesia con ClimateCoating</w:t>
      </w:r>
      <w:r>
        <w:rPr>
          <w:sz w:val="30"/>
          <w:szCs w:val="30"/>
          <w:vertAlign w:val="superscript"/>
        </w:rPr>
        <w:t>®</w:t>
      </w:r>
      <w:r>
        <w:t xml:space="preserve">. Los motivos de la decisión fueron la buena adherencia y la reducción de los valores de humedad en las paredes. Los problemas de la Gran Iglesia de NL-1636 Schermerhorn eran que grandes partes de los muros exteriores presentaban decoloración y que el revoque se estaba desmoronando. La fase de prueba comenzó el 31 de octubre de 2013. El objetivo era encontrar respuestas a las siguientes preguntas: 1) ¿Cuáles son las causas de estos desprendimientos en las paredes? y 2) ¿Cómo se pueden restaurar los muros de forma económica y estructurada? Para ello se crearon montajes de prueba: Zonas de muestreo y puntos de medición. La base de la decisión estaba clara: ¿se adherirá el revestimiento a las superficies de la muestra y se podrá reducir la humedad de las paredes? Se eligió el muro del ábside, donde había más problemas. Las primeras mediciones de humedad realizadas en octubre de 2013 mostraron: la humedad en las paredes exteriores no es constante; no hay una correlación clara entre las diferentes alturas de las bandas. En noviembre de 2013 se realizó un análisis de la permeabilidad al vapor del yeso existente. Las parcelas de muestreo se establecieron en noviembre de 2013 y las mediciones iniciales se realizaron en febrero, mayo, agosto y noviembre de 2014. Además de suministrar los materiales, Coateq también proporcionó apoyo técnico. Las series de mediciones se prolongaron hasta 2016.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225"/>
        <w:gridCol w:w="713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26919,26920,26921,26922,26923,26924,26925,26926,26927,26928,26929,26930,25992,26931,26932,26933,26934,26935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Iglesia Schermerhorn</dc:title>
  <cp:revision>0</cp:revision>
</cp:coreProperties>
</file>