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Naturaleza para los molinos de viento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Una renovación de la fachada con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Nature</w:t>
        </w:r>
      </w:hyperlink>
      <w:r>
        <w:rPr>
          <w:b/>
          <w:bCs/>
        </w:rPr>
        <w:t>.</w:t>
      </w:r>
      <w:r>
        <w:t xml:space="preserve"> Holanda: los canales de Ámsterdam, el queso y las bicicletas. Y los molinos de viento. Holanda y sus molinos son inseparables, son uno de los símbolos más conocidos de los Países Bajos. Los molinos holandeses aparecieron a finales del siglo XVI, y a finales del siglo XIX había 10.000 molinos en los Países Bajos. Dado que la población se ha reducido a unos 1.000 habitantes, es importante conservar y mantener los molinos existentes.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 xml:space="preserve"> contribuye a ello. Las buenas experiencias con las casas Black ClimateCoating</w:t>
      </w:r>
      <w:r>
        <w:rPr>
          <w:sz w:val="30"/>
          <w:szCs w:val="30"/>
          <w:vertAlign w:val="superscript"/>
        </w:rPr>
        <w:t>®</w:t>
      </w:r>
      <w:r>
        <w:t xml:space="preserve"> son la base de la decisión.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26012,27316,27317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s/productos/nature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Naturaleza para los molinos de viento</dc:title>
  <cp:revision>0</cp:revision>
</cp:coreProperties>
</file>