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Bloques de apartamentos en Botkyrka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Una sorprendente aplicación de los valores de cálculo de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. 12% de ahorro energético gracias a la renovación de la fachada con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Los bloques de apartamentos de Botkyrka eran dos grandes edificios de apartamentos con la dirección </w:t>
      </w:r>
      <w:hyperlink r:id="rId5" w:tgtFrame="_blank" w:history="1">
        <w:r>
          <w:rPr>
            <w:color w:val="0000EE"/>
            <w:u w:val="single" w:color="0000EE"/>
          </w:rPr>
          <w:t>Branta Backen 7-15 y 17-29 en Tumba, municipio de Botkyrka, cerca de Estocolmo, en Suecia</w:t>
        </w:r>
      </w:hyperlink>
      <w:r>
        <w:t>. Botkyrka es un municipio de la provincia sueca de Stockholms län y de la provincia histórica de Södermanland. La principal ciudad del municipio es Tumba. En 2009, los preparativos para la renovación de la fachada estaban en marcha. Esto incluía inspecciones, consultas y una proyección del potencial de ahorro energético previsto. Utilizando los valores de cálculo de ClimateCoating</w:t>
      </w:r>
      <w:r>
        <w:rPr>
          <w:sz w:val="30"/>
          <w:szCs w:val="30"/>
          <w:vertAlign w:val="superscript"/>
        </w:rPr>
        <w:t>®</w:t>
      </w:r>
      <w:r>
        <w:t xml:space="preserve">, la empresa de ingeniería berlinesa DIMaGB determinó un ΔUäqu del 19%, lo que lleva a un potencial de ahorro ΔQ = 12% si se tiene en cuenta la geometría del edificio. Como resultado de un análisis de rentabilidad, la empresa de viviendas decidió renovar la fachada con un revestimiento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En febrero de 2014, ÅF-Infrastructure AB, una empresa sueca internacional de ingeniería y consultoría, realizó una evaluación de la supervisión. " </w:t>
      </w:r>
      <w:r>
        <w:rPr>
          <w:i/>
          <w:iCs/>
        </w:rPr>
        <w:t>Para la Branta Jaws 7-15, la disminución [des Energieverbrauchs] correspondió al 11,0% y para la Branta Jaws 17-29 al 13,2% durante el mismo periodo".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86"/>
        <w:gridCol w:w="6374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25959,27327,27328,27329,27330,27331,27332,27333,27334,27335,27336,27337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hyperlink" Target="https://goo.gl/maps/CsjeFzJq7K62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Bloques de apartamentos en Botkyrka</dc:title>
  <cp:revision>0</cp:revision>
</cp:coreProperties>
</file>