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Garajes en Forst después de 7 años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Las superficies de prueba en las paredes del garaje en el exterior muestran una gran ventaja de calidad de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t xml:space="preserve"> Las superficies de las paredes (lado oeste) entre las puertas del garaje se pintaron hace unos 7 u 8 años. Las dos superficies de las paredes de la izquierda están revestidas con ClimateCoating</w:t>
      </w:r>
      <w:r>
        <w:rPr>
          <w:sz w:val="30"/>
          <w:szCs w:val="30"/>
          <w:vertAlign w:val="superscript"/>
        </w:rPr>
        <w:t>®</w:t>
      </w:r>
      <w:r>
        <w:t xml:space="preserve"> Exterior, todas las demás con pintura blanca normal para exteriores, donde el moho, las algas y los hongos son visibles, mientras que en las paredes revestidas con ClimateCoating</w:t>
      </w:r>
      <w:r>
        <w:rPr>
          <w:sz w:val="30"/>
          <w:szCs w:val="30"/>
          <w:vertAlign w:val="superscript"/>
        </w:rPr>
        <w:t>®</w:t>
      </w:r>
      <w:r>
        <w:t xml:space="preserve"> la superficie sigue sin presentar problemas.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26017,26870,26871,26872,26873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Garajes en Forst después de 7 años</dc:title>
  <cp:revision>0</cp:revision>
</cp:coreProperties>
</file>