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Garages in Forst after 7 years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Test surfaces on garage walls outside show a great quality advantage of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t xml:space="preserve"> The wall surfaces (west side) between the garage doors were painted about 7 to 8 years ago. The two wall surfaces on the left are coated with ClimateCoating</w:t>
      </w:r>
      <w:r>
        <w:rPr>
          <w:sz w:val="30"/>
          <w:szCs w:val="30"/>
          <w:vertAlign w:val="superscript"/>
        </w:rPr>
        <w:t>®</w:t>
      </w:r>
      <w:r>
        <w:t xml:space="preserve"> Exterior, all others with normal exterior white paint, where mould, algae and fungi are visible, whereas on the walls coated with ClimateCoating</w:t>
      </w:r>
      <w:r>
        <w:rPr>
          <w:sz w:val="30"/>
          <w:szCs w:val="30"/>
          <w:vertAlign w:val="superscript"/>
        </w:rPr>
        <w:t>®</w:t>
      </w:r>
      <w:r>
        <w:t xml:space="preserve"> the surface is still without complaint.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22177,22179,22181,22183,22185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n/produc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Garages in Forst after 7 years</dc:title>
  <cp:revision>0</cp:revision>
</cp:coreProperties>
</file>