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Renovations with Nature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A facade renovation with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w:t>
      </w:r>
      <w:r>
        <w:t xml:space="preserve"> This practical report is from Holland, but also in Sweden, which is well known for its wooden houses,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has been successfully and beneficially used for years. The primary aim is to provide long-term protection for the wooden façades, while at the same time saving energy. As far as long-term protection is concerned, Nature is ahead of many stains, varnishes and glazes, as practical comparisons show. The application of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e.g. on a wooden house, is no different from that of facade paints. The substrate must be dry, clean, load-bearing and free of grease, oil and wax. Load-bearing means: no loose paint residues or flakes. In addition, the substrate must be breathable, i.e. open to diffusion, so that the wall can "breathe out" water vapour. The photo report from Akersloot (NL) from 2015 shows how a wooden house painted with wood stain gets a renovation coat after three years.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22225,22227,22229,22231,22233,22235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n/products/nature/"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Renovations with Nature</dc:title>
  <cp:revision>0</cp:revision>
</cp:coreProperties>
</file>