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Terraced houses in the Netherlands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Just over 5% energy saving</w:t>
      </w:r>
      <w:r>
        <w:t xml:space="preserve"> In addition to a good and stable appearance over many years as well as weather protection, a ClimateCoating</w:t>
      </w:r>
      <w:r>
        <w:rPr>
          <w:sz w:val="30"/>
          <w:szCs w:val="30"/>
          <w:vertAlign w:val="superscript"/>
        </w:rPr>
        <w:t>®</w:t>
      </w:r>
      <w:r>
        <w:t xml:space="preserve"> coating of the facade also results in savings in heating energy. These vary depending on the wall material and building type. For these terraced houses in Ymere, the Netherlands, it was over 5% after coating in 2011. This is nothing special, one might think - in the comparable building with 3 cm polystyrene insulation it has not been much more since 1990. The special feature here lies in the relation of the enveloping surface shares of outer wall to roof and windows.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24209,24211,24213,24215,24217,24219,24221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Terraced houses in the Netherlands</dc:title>
  <cp:revision>0</cp:revision>
</cp:coreProperties>
</file>