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Residential house in Berlin after 6 years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 xml:space="preserve">Test surfaces on an insulated façade with a "premium façade paint" and </w:t>
      </w:r>
      <w:hyperlink r:id="rId4" w:history="1">
        <w:r>
          <w:rPr>
            <w:b/>
            <w:bCs/>
            <w:color w:val="0000EE"/>
            <w:u w:val="single" w:color="0000EE"/>
          </w:rPr>
          <w:t>ClimateCoating</w:t>
        </w:r>
        <w:r>
          <w:rPr>
            <w:b/>
            <w:bCs/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b/>
            <w:bCs/>
            <w:color w:val="0000EE"/>
            <w:u w:val="single" w:color="0000EE"/>
          </w:rPr>
          <w:t xml:space="preserve"> ThermoProtect</w:t>
        </w:r>
      </w:hyperlink>
      <w:r>
        <w:rPr>
          <w:b/>
          <w:bCs/>
        </w:rPr>
        <w:t xml:space="preserve"> reveal major differences in quality</w:t>
      </w:r>
      <w:r>
        <w:t xml:space="preserve"> On 08.12.2009 a Berlin building expert inspected facades in the L.str. 56 in Berlin and on the neighbouring building on the left. This was a practical comparison of facade paints (outdoor weathering of the test surfaces after 6 years on the ETICS facade). On the neighbouring building, a trial coat of the best facade paint from a market leader was applied to the offset gable. After 6 years there is a problem that cannot be overlooked: clearly pronounced cracks in the coating. The visibility of the cracks is possible without tools. The facade paint of a market leader shown here is a "particularly dirt-resistant silicone resin facade paint with an outstanding binder-filler combination" with the properties "dirt-minimized, capillary-hydrophobic, mineral-matt, highly water-repellent". Theory and practice seem to diverge somewhat here: with this crack pattern, the paint is rather not water-repellent. This clearly shows that the classification of an ETICS according to DIN 4108-3, Table 3, Line 6, to stress groups I to III with regard to driving rain protection is a theoretical, albeit standardized, assumption. The comparison area at the gable of house no. 56 was - also 6 years ago - built by Fa. Karl from Berlin coated with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>. The examination of the ClimateCoating</w:t>
      </w:r>
      <w:r>
        <w:rPr>
          <w:sz w:val="30"/>
          <w:szCs w:val="30"/>
          <w:vertAlign w:val="superscript"/>
        </w:rPr>
        <w:t>®</w:t>
      </w:r>
      <w:r>
        <w:t xml:space="preserve"> test surface showed a damage-free condition at different zoom levels and even under the façade magnifying glass. This facade coating clearly surpasses the result of the competitor after 6 years.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22508,22510,22512,22514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en/products/th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Residential house in Berlin after 6 years</dc:title>
  <cp:revision>0</cp:revision>
</cp:coreProperties>
</file>