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 for windmills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A facade renovation with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Holland - that is the canals in Amsterdam, cheese, bicycles. And windmills. Holland and its windmills are inseparable, they are one of the well-known symbols of the Netherlands. Dutch windmills appeared at the end of the 16th century, and there were 10,000 windmills in the Netherlands by the end of the 19th century. Since the population has now shrunk to about 1,000, the preservation and maintenance of the existing windmills is important.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makes a good contribution to this. The good experiences with the Black ClimateCoating</w:t>
      </w:r>
      <w:r>
        <w:rPr>
          <w:sz w:val="30"/>
          <w:szCs w:val="30"/>
          <w:vertAlign w:val="superscript"/>
        </w:rPr>
        <w:t>®</w:t>
      </w:r>
      <w:r>
        <w:t xml:space="preserve"> houses provide the basis for the decision.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24314,24316,24318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natu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 for windmills</dc:title>
  <cp:revision>0</cp:revision>
</cp:coreProperties>
</file>