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Nature für Windmühlen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Eine Fassadenrenovierung mit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Nature</w:t>
        </w:r>
      </w:hyperlink>
      <w:r>
        <w:rPr>
          <w:b/>
          <w:bCs/>
        </w:rPr>
        <w:t>.</w:t>
      </w:r>
      <w:r>
        <w:t xml:space="preserve"> Holland – das sind die Grachten in Amsterdam, Käse, Fahrräder. Und Windmühlen. Holland und seine Windmühlen sind unzertrennlich, sie sind eines der bekannten Symbole der Niederlande. Ende des 16. Jahrhunderts kamen die Holländerwindmühlen auf, in den Niederlanden gab es bis Ende des 19. Jahrhunderts 10.000 Windmühlen. Da der Bestand inzwischen auf ca. 1.000 geschrumpft ist, ist der Erhalt und die Pflege der bestehenden Windmühlen wichtig.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leistet einen guten Beitrag hierzu. Die guten Erfahrungen bei den Schwarzen ClimateCoating</w:t>
      </w:r>
      <w:r>
        <w:rPr>
          <w:sz w:val="30"/>
          <w:szCs w:val="30"/>
          <w:vertAlign w:val="superscript"/>
        </w:rPr>
        <w:t>®</w:t>
      </w:r>
      <w:r>
        <w:t xml:space="preserve">-Häusern geben die Entscheidungsgrundlage.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24313,24315,24317</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nature/"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Nature für Windmühlen</dc:title>
  <cp:revision>0</cp:revision>
</cp:coreProperties>
</file>