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Wohnhaus in Beringe (NL)</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r>
        <w:t>An der Adresse Hoogstraat 47 in Beringe (L), Niederlanden, beschichtete in 2016 der Hauseigentümer und Malermeister Thijs Martens die Dachpfannen in Schwarz sowie die Fassade in Weiß. Verbrauchswerte für Heizenergie liegen noch nicht vor, aber es gibt erste Erfahrungen: </w:t>
      </w:r>
      <w:r>
        <w:rPr>
          <w:i/>
          <w:iCs/>
        </w:rPr>
        <w:t>„Das ungedämmte Dachgeschoss ist im Winter nicht mehr so ganz kalt“</w:t>
      </w:r>
      <w:r>
        <w:t> und </w:t>
      </w:r>
      <w:r>
        <w:rPr>
          <w:i/>
          <w:iCs/>
        </w:rPr>
        <w:t>„Unsere Heizung braucht bei Ankunft zu Hause nur noch 30 Minuten von 17°C auf 20°C. Vor ClimateCoating</w:t>
      </w:r>
      <w:r>
        <w:rPr>
          <w:i/>
          <w:iCs/>
          <w:sz w:val="30"/>
          <w:szCs w:val="30"/>
          <w:vertAlign w:val="superscript"/>
        </w:rPr>
        <w:t>®</w:t>
      </w:r>
      <w:r>
        <w:rPr>
          <w:i/>
          <w:iCs/>
        </w:rPr>
        <w:t xml:space="preserve"> dauerte es 1,5 Stunden“</w:t>
      </w:r>
      <w:r>
        <w:t xml:space="preserve">. Bei den Außenwänden ahndelt es sich um eine zweischalige Konstruktion mit Luftspalt und so genannten Halbsteinen als Klinkerschale. Die deutlich kürzeren Aufheizzeiten und das langsamere Auskühlen wirken sich Energie sparend aus.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22501,22503,22505</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Wohnhaus in Beringe (NL)</dc:title>
  <cp:revision>0</cp:revision>
</cp:coreProperties>
</file>