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Reihenhäuser in den Niederlanden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Etwas über 5% Energieeinsparung</w:t>
      </w:r>
      <w:r>
        <w:t xml:space="preserve"> Neben gutem und über Jahre stabilem Aussehen sowie Witterungsschutz bewirkt eine ClimateCoating</w:t>
      </w:r>
      <w:r>
        <w:rPr>
          <w:sz w:val="30"/>
          <w:szCs w:val="30"/>
          <w:vertAlign w:val="superscript"/>
        </w:rPr>
        <w:t>®</w:t>
      </w:r>
      <w:r>
        <w:t xml:space="preserve"> Beschichtung der Fassade auch Einsparungen an Heizenergie. Diese fallen je nach Wandmaterial und Gebäudetyp unterschiedlich aus. Bei diesen Reihenhäusern in Ymere, Niederlande, waren es nach der Beschichtung in 2011 über 5%. Das ist nichts Besonderes, könnte man meinen – beim Vergleichsgebäude mit 3 cm Polystyroldämmung war es seit 1990 auch nicht viel mehr. Die Besonderheit hier liegt in der Relation der Hüllflächenanteile von Außenwand zu Dach und Fenstern.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24208,24210,24212,24214,24216,24218,24220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Reihenhäuser in den Niederlanden</dc:title>
  <cp:revision>0</cp:revision>
</cp:coreProperties>
</file>