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Renovierungen mit Nature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Eine Fassadenrenovierung mit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Nature</w:t>
        </w:r>
      </w:hyperlink>
      <w:r>
        <w:rPr>
          <w:b/>
          <w:bCs/>
        </w:rPr>
        <w:t>.</w:t>
      </w:r>
      <w:r>
        <w:t xml:space="preserve"> Dieser Praxisreport ist aus Holland, aber auch in Schweden, das bekannt ist für seine Holzhäuser, wird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seit Jahren der Bewährung erfolgreich und nutzbringend eingesetzt. Dabei geht es in erster Linie um einen Langzeitschutz für die Holzfassaden, nebenher ergeben sich auch Energieeinsparungen. Was den Langzeitschutz betrifft, hat Nature vielen Beizen, Lacken und Lasuren einiges voraus, wie Praxisvergleiche belegen. Die Verarbeitung von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z.B. an einem Holzhaus ist nicht anders als bei Fassadenfarben. Der Untergrund muss trocken, sauber, tragfähig, fett-, öl- und wachsfrei sein. Tragfähig bedeutet: keine losen Farbreste oder Schuppen. Außerdem muss der Untergrund atmungsfähig sein, also diffusionsoffen, damit die Wand Wasserdampf „abatmen“ kann. Der Bildbericht aus Akersloot (NL) aus 2015 zeigt, wie ein mit Holzbeize gestrichenes Holzhaus nach drei Jahren einen Renovierungsanstrich erhält.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22224,22226,22228,22230,22232,22234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nature/"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Renovierungen mit Nature</dc:title>
  <cp:revision>0</cp:revision>
</cp:coreProperties>
</file>